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034F" w14:textId="77777777" w:rsidR="007F6FA8" w:rsidRPr="00B9258D" w:rsidRDefault="007F6FA8" w:rsidP="007F6FA8">
      <w:pPr>
        <w:keepNext/>
        <w:keepLines/>
        <w:spacing w:after="0" w:line="240" w:lineRule="auto"/>
        <w:jc w:val="center"/>
        <w:outlineLvl w:val="1"/>
        <w:rPr>
          <w:rFonts w:ascii="Bookman Old Style" w:eastAsiaTheme="majorEastAsia" w:hAnsi="Bookman Old Style" w:cs="Times New Roman"/>
          <w:b/>
          <w:i/>
        </w:rPr>
      </w:pPr>
    </w:p>
    <w:p w14:paraId="39CAE150" w14:textId="77777777" w:rsidR="007F6FA8" w:rsidRPr="00B9258D" w:rsidRDefault="007F6FA8" w:rsidP="007F6FA8">
      <w:pPr>
        <w:spacing w:after="0" w:line="240" w:lineRule="auto"/>
        <w:jc w:val="center"/>
        <w:rPr>
          <w:rFonts w:ascii="Bookman Old Style" w:hAnsi="Bookman Old Style"/>
          <w:b/>
        </w:rPr>
      </w:pPr>
      <w:r w:rsidRPr="00B9258D">
        <w:rPr>
          <w:rFonts w:ascii="Bookman Old Style" w:hAnsi="Bookman Old Style"/>
          <w:noProof/>
          <w:lang w:eastAsia="it-IT"/>
        </w:rPr>
        <w:drawing>
          <wp:inline distT="0" distB="0" distL="0" distR="0" wp14:anchorId="53A4F3A0" wp14:editId="7A2329B9">
            <wp:extent cx="619125" cy="923925"/>
            <wp:effectExtent l="0" t="0" r="9525" b="9525"/>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Immagine che contiene disegnand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23925"/>
                    </a:xfrm>
                    <a:prstGeom prst="rect">
                      <a:avLst/>
                    </a:prstGeom>
                    <a:noFill/>
                    <a:ln>
                      <a:noFill/>
                    </a:ln>
                  </pic:spPr>
                </pic:pic>
              </a:graphicData>
            </a:graphic>
          </wp:inline>
        </w:drawing>
      </w:r>
    </w:p>
    <w:p w14:paraId="37329E51" w14:textId="77777777" w:rsidR="007F6FA8" w:rsidRPr="00B9258D" w:rsidRDefault="007F6FA8" w:rsidP="007F6FA8">
      <w:pPr>
        <w:spacing w:after="0" w:line="240" w:lineRule="auto"/>
        <w:jc w:val="center"/>
        <w:rPr>
          <w:rFonts w:ascii="Bookman Old Style" w:hAnsi="Bookman Old Style"/>
          <w:b/>
        </w:rPr>
      </w:pPr>
    </w:p>
    <w:p w14:paraId="2BF0649D" w14:textId="77777777" w:rsidR="007F6FA8" w:rsidRPr="00D5746B" w:rsidRDefault="007F6FA8" w:rsidP="007F6FA8">
      <w:pPr>
        <w:spacing w:after="0" w:line="252" w:lineRule="auto"/>
        <w:contextualSpacing/>
        <w:jc w:val="center"/>
        <w:rPr>
          <w:rFonts w:ascii="Bookman Old Style" w:hAnsi="Bookman Old Style"/>
          <w:color w:val="FF0000"/>
        </w:rPr>
      </w:pPr>
    </w:p>
    <w:p w14:paraId="37299903" w14:textId="297D5FD4" w:rsidR="00B63841" w:rsidRPr="000469AB" w:rsidRDefault="00372EB5" w:rsidP="00D97C17">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hAnsi="Bookman Old Style" w:cs="TimesNewRomanPS-BoldItalicMT"/>
          <w:b/>
          <w:bCs/>
          <w:i/>
          <w:iCs/>
        </w:rPr>
      </w:pPr>
      <w:r w:rsidRPr="0095247F">
        <w:rPr>
          <w:rFonts w:ascii="Bookman Old Style" w:hAnsi="Bookman Old Style" w:cs="TimesNewRomanPS-BoldItalicMT"/>
          <w:b/>
          <w:bCs/>
        </w:rPr>
        <w:t xml:space="preserve">Decreto-legge </w:t>
      </w:r>
      <w:r w:rsidR="00B63841" w:rsidRPr="0095247F">
        <w:rPr>
          <w:rFonts w:ascii="Bookman Old Style" w:hAnsi="Bookman Old Style" w:cs="TimesNewRomanPS-BoldItalicMT"/>
          <w:b/>
          <w:bCs/>
        </w:rPr>
        <w:t>23 settembre 2022, n. 144 “</w:t>
      </w:r>
      <w:r w:rsidR="00B63841" w:rsidRPr="000469AB">
        <w:rPr>
          <w:rFonts w:ascii="Bookman Old Style" w:hAnsi="Bookman Old Style" w:cs="TimesNewRomanPS-BoldItalicMT"/>
          <w:b/>
          <w:bCs/>
          <w:i/>
          <w:iCs/>
        </w:rPr>
        <w:t>Ulteriori misure urgenti in materia di politica energetica nazionale, produttività delle imprese, politiche sociali e per</w:t>
      </w:r>
    </w:p>
    <w:p w14:paraId="081874C8" w14:textId="447E53B0" w:rsidR="000469AB" w:rsidRDefault="00B63841" w:rsidP="00D97C17">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hAnsi="Bookman Old Style" w:cs="TimesNewRomanPS-BoldItalicMT"/>
          <w:b/>
          <w:bCs/>
        </w:rPr>
      </w:pPr>
      <w:r w:rsidRPr="000469AB">
        <w:rPr>
          <w:rFonts w:ascii="Bookman Old Style" w:hAnsi="Bookman Old Style" w:cs="TimesNewRomanPS-BoldItalicMT"/>
          <w:b/>
          <w:bCs/>
          <w:i/>
          <w:iCs/>
        </w:rPr>
        <w:t>la realizzazione del Piano nazionale di ripresa e resilienza</w:t>
      </w:r>
      <w:r w:rsidRPr="0095247F">
        <w:rPr>
          <w:rFonts w:ascii="Bookman Old Style" w:hAnsi="Bookman Old Style" w:cs="TimesNewRomanPS-BoldItalicMT"/>
          <w:b/>
          <w:bCs/>
        </w:rPr>
        <w:t xml:space="preserve"> (PNRR)</w:t>
      </w:r>
      <w:r w:rsidR="00B1073E" w:rsidRPr="0095247F">
        <w:rPr>
          <w:rFonts w:ascii="Bookman Old Style" w:hAnsi="Bookman Old Style" w:cs="TimesNewRomanPS-BoldItalicMT"/>
          <w:b/>
          <w:bCs/>
        </w:rPr>
        <w:t>”</w:t>
      </w:r>
    </w:p>
    <w:p w14:paraId="4050B70C" w14:textId="11AF2B2F" w:rsidR="007F6FA8" w:rsidRPr="0095247F" w:rsidRDefault="00C14267" w:rsidP="00D97C17">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hAnsi="Bookman Old Style" w:cs="TimesNewRomanPS-BoldItalicMT"/>
          <w:b/>
          <w:bCs/>
        </w:rPr>
      </w:pPr>
      <w:r w:rsidRPr="0095247F">
        <w:rPr>
          <w:rFonts w:ascii="Bookman Old Style" w:hAnsi="Bookman Old Style" w:cs="TimesNewRomanPS-BoldItalicMT"/>
          <w:b/>
          <w:bCs/>
        </w:rPr>
        <w:t>cd DL AIUTI TER</w:t>
      </w:r>
    </w:p>
    <w:p w14:paraId="738B234B" w14:textId="77777777" w:rsidR="007F6FA8" w:rsidRPr="0095247F" w:rsidRDefault="007F6FA8" w:rsidP="00372EB5">
      <w:pPr>
        <w:spacing w:after="0" w:line="252" w:lineRule="auto"/>
        <w:contextualSpacing/>
        <w:jc w:val="center"/>
        <w:rPr>
          <w:rFonts w:ascii="Bookman Old Style" w:hAnsi="Bookman Old Style" w:cs="TimesNewRomanPS-BoldItalicMT"/>
          <w:b/>
          <w:bCs/>
        </w:rPr>
      </w:pPr>
    </w:p>
    <w:p w14:paraId="216700F3" w14:textId="77777777" w:rsidR="00F57D22" w:rsidRPr="0095247F" w:rsidRDefault="00F57D22" w:rsidP="007F6FA8">
      <w:pPr>
        <w:spacing w:after="0" w:line="252" w:lineRule="auto"/>
        <w:contextualSpacing/>
        <w:jc w:val="center"/>
        <w:rPr>
          <w:rFonts w:ascii="Bookman Old Style" w:hAnsi="Bookman Old Style" w:cs="TimesNewRomanPS-BoldItalicMT"/>
          <w:b/>
          <w:bCs/>
        </w:rPr>
      </w:pPr>
    </w:p>
    <w:p w14:paraId="3BD5EF94" w14:textId="794D313E" w:rsidR="007F6FA8" w:rsidRPr="00D97C17" w:rsidRDefault="00C14267" w:rsidP="007F6FA8">
      <w:pPr>
        <w:spacing w:after="0" w:line="252" w:lineRule="auto"/>
        <w:contextualSpacing/>
        <w:jc w:val="center"/>
        <w:rPr>
          <w:rFonts w:ascii="Bookman Old Style" w:hAnsi="Bookman Old Style" w:cs="TimesNewRomanPS-BoldItalicMT"/>
          <w:b/>
          <w:bCs/>
          <w:color w:val="FF0000"/>
        </w:rPr>
      </w:pPr>
      <w:r w:rsidRPr="00D97C17">
        <w:rPr>
          <w:rFonts w:ascii="Bookman Old Style" w:hAnsi="Bookman Old Style" w:cs="TimesNewRomanPS-BoldItalicMT"/>
          <w:b/>
          <w:bCs/>
          <w:color w:val="FF0000"/>
        </w:rPr>
        <w:t>PRIMA NOTA SINTETICA</w:t>
      </w:r>
    </w:p>
    <w:p w14:paraId="673C3F03" w14:textId="77777777" w:rsidR="007F6FA8" w:rsidRPr="0095247F" w:rsidRDefault="007F6FA8" w:rsidP="007F6FA8">
      <w:pPr>
        <w:spacing w:after="0" w:line="252" w:lineRule="auto"/>
        <w:contextualSpacing/>
        <w:jc w:val="center"/>
        <w:rPr>
          <w:rFonts w:ascii="Bookman Old Style" w:hAnsi="Bookman Old Style"/>
          <w:b/>
          <w:bCs/>
        </w:rPr>
      </w:pPr>
    </w:p>
    <w:p w14:paraId="3990A7C5" w14:textId="77777777" w:rsidR="00C14267" w:rsidRPr="00B9258D" w:rsidRDefault="00C14267" w:rsidP="00C14267">
      <w:pPr>
        <w:spacing w:after="0" w:line="252" w:lineRule="auto"/>
        <w:contextualSpacing/>
        <w:jc w:val="center"/>
        <w:rPr>
          <w:rFonts w:ascii="Bookman Old Style" w:hAnsi="Bookman Old Style"/>
          <w:b/>
          <w:bCs/>
        </w:rPr>
      </w:pPr>
    </w:p>
    <w:p w14:paraId="24440C74" w14:textId="51C739C1" w:rsidR="00D44DE0" w:rsidRDefault="007F6FA8" w:rsidP="007F6FA8">
      <w:pPr>
        <w:spacing w:after="0" w:line="240" w:lineRule="auto"/>
        <w:jc w:val="both"/>
        <w:rPr>
          <w:rFonts w:ascii="Bookman Old Style" w:hAnsi="Bookman Old Style"/>
        </w:rPr>
      </w:pPr>
      <w:r w:rsidRPr="00B9258D">
        <w:rPr>
          <w:rFonts w:ascii="Bookman Old Style" w:hAnsi="Bookman Old Style"/>
        </w:rPr>
        <w:t xml:space="preserve">Il </w:t>
      </w:r>
      <w:proofErr w:type="gramStart"/>
      <w:r w:rsidRPr="00B9258D">
        <w:rPr>
          <w:rFonts w:ascii="Bookman Old Style" w:hAnsi="Bookman Old Style"/>
        </w:rPr>
        <w:t>decreto legge</w:t>
      </w:r>
      <w:proofErr w:type="gramEnd"/>
      <w:r w:rsidRPr="00B9258D">
        <w:rPr>
          <w:rFonts w:ascii="Bookman Old Style" w:hAnsi="Bookman Old Style"/>
        </w:rPr>
        <w:t xml:space="preserve"> </w:t>
      </w:r>
      <w:r w:rsidR="000469AB">
        <w:rPr>
          <w:rFonts w:ascii="Bookman Old Style" w:hAnsi="Bookman Old Style"/>
        </w:rPr>
        <w:t xml:space="preserve">23 settembre 2022, n. 144 </w:t>
      </w:r>
      <w:r w:rsidRPr="00B9258D">
        <w:rPr>
          <w:rFonts w:ascii="Bookman Old Style" w:hAnsi="Bookman Old Style"/>
        </w:rPr>
        <w:t>recante “</w:t>
      </w:r>
      <w:r w:rsidR="00F57D22" w:rsidRPr="00B9258D">
        <w:rPr>
          <w:rFonts w:ascii="Bookman Old Style" w:hAnsi="Bookman Old Style"/>
          <w:i/>
          <w:iCs/>
        </w:rPr>
        <w:t>U</w:t>
      </w:r>
      <w:r w:rsidR="00F57D22" w:rsidRPr="00B9258D">
        <w:rPr>
          <w:rFonts w:ascii="Bookman Old Style" w:hAnsi="Bookman Old Style" w:cs="TimesNewRomanPS-BoldMT"/>
          <w:i/>
          <w:iCs/>
        </w:rPr>
        <w:t xml:space="preserve">lteriori misure urgenti in materia di politica energetica nazionale, produttività delle imprese, politiche sociali e per la realizzazione del piano nazionale di ripresa e resilienza </w:t>
      </w:r>
      <w:r w:rsidR="00F57D22" w:rsidRPr="00B9258D">
        <w:rPr>
          <w:rFonts w:ascii="Bookman Old Style" w:hAnsi="Bookman Old Style" w:cs="TimesNewRomanPS-BoldMT"/>
        </w:rPr>
        <w:t>(PNRR)</w:t>
      </w:r>
      <w:r w:rsidR="00F57D22" w:rsidRPr="00B9258D">
        <w:rPr>
          <w:rFonts w:ascii="Bookman Old Style" w:hAnsi="Bookman Old Style"/>
        </w:rPr>
        <w:t>”</w:t>
      </w:r>
      <w:r w:rsidRPr="00B9258D">
        <w:rPr>
          <w:rFonts w:ascii="Bookman Old Style" w:hAnsi="Bookman Old Style"/>
        </w:rPr>
        <w:t xml:space="preserve"> - cd </w:t>
      </w:r>
      <w:r w:rsidRPr="00B9258D">
        <w:rPr>
          <w:rFonts w:ascii="Bookman Old Style" w:hAnsi="Bookman Old Style"/>
          <w:b/>
          <w:bCs/>
        </w:rPr>
        <w:t xml:space="preserve">dl </w:t>
      </w:r>
      <w:r w:rsidR="00F57D22" w:rsidRPr="00B9258D">
        <w:rPr>
          <w:rFonts w:ascii="Bookman Old Style" w:hAnsi="Bookman Old Style"/>
          <w:b/>
          <w:bCs/>
        </w:rPr>
        <w:t>AIUTI TER</w:t>
      </w:r>
      <w:r w:rsidRPr="00B9258D">
        <w:rPr>
          <w:rFonts w:ascii="Bookman Old Style" w:hAnsi="Bookman Old Style"/>
        </w:rPr>
        <w:t xml:space="preserve">- </w:t>
      </w:r>
      <w:r w:rsidRPr="000469AB">
        <w:rPr>
          <w:rFonts w:ascii="Bookman Old Style" w:hAnsi="Bookman Old Style"/>
          <w:b/>
          <w:bCs/>
        </w:rPr>
        <w:t>è stato</w:t>
      </w:r>
      <w:r w:rsidRPr="00B9258D">
        <w:rPr>
          <w:rFonts w:ascii="Bookman Old Style" w:hAnsi="Bookman Old Style"/>
        </w:rPr>
        <w:t xml:space="preserve"> </w:t>
      </w:r>
      <w:r w:rsidRPr="000469AB">
        <w:rPr>
          <w:rFonts w:ascii="Bookman Old Style" w:hAnsi="Bookman Old Style"/>
          <w:b/>
          <w:bCs/>
        </w:rPr>
        <w:t xml:space="preserve">approvato dal Consiglio dei Ministri il </w:t>
      </w:r>
      <w:r w:rsidR="00604084" w:rsidRPr="000469AB">
        <w:rPr>
          <w:rFonts w:ascii="Bookman Old Style" w:hAnsi="Bookman Old Style"/>
          <w:b/>
          <w:bCs/>
        </w:rPr>
        <w:t>16 settembre</w:t>
      </w:r>
      <w:r w:rsidR="00AF4ABF" w:rsidRPr="00B9258D">
        <w:rPr>
          <w:rFonts w:ascii="Bookman Old Style" w:hAnsi="Bookman Old Style"/>
        </w:rPr>
        <w:t xml:space="preserve"> e </w:t>
      </w:r>
      <w:r w:rsidR="00B1073E" w:rsidRPr="00D5746B">
        <w:rPr>
          <w:rFonts w:ascii="Bookman Old Style" w:hAnsi="Bookman Old Style"/>
          <w:b/>
          <w:bCs/>
        </w:rPr>
        <w:t>pubblicato sulla Gazzetta Ufficiale n. 223 del 23 settembre</w:t>
      </w:r>
      <w:r w:rsidR="00B1073E">
        <w:rPr>
          <w:rFonts w:ascii="Bookman Old Style" w:hAnsi="Bookman Old Style"/>
        </w:rPr>
        <w:t>.</w:t>
      </w:r>
    </w:p>
    <w:p w14:paraId="549E3004" w14:textId="77284138" w:rsidR="007F6FA8" w:rsidRPr="00B9258D" w:rsidRDefault="00B1073E" w:rsidP="007F6FA8">
      <w:pPr>
        <w:spacing w:after="0" w:line="240" w:lineRule="auto"/>
        <w:jc w:val="both"/>
        <w:rPr>
          <w:rFonts w:ascii="Bookman Old Style" w:hAnsi="Bookman Old Style"/>
        </w:rPr>
      </w:pPr>
      <w:r>
        <w:rPr>
          <w:rFonts w:ascii="Bookman Old Style" w:hAnsi="Bookman Old Style"/>
        </w:rPr>
        <w:t>S</w:t>
      </w:r>
      <w:r w:rsidR="007F6FA8" w:rsidRPr="00B9258D">
        <w:rPr>
          <w:rFonts w:ascii="Bookman Old Style" w:hAnsi="Bookman Old Style"/>
        </w:rPr>
        <w:t>i riportano di seguito i contenuti delle norme più importanti per i Comuni</w:t>
      </w:r>
      <w:r w:rsidR="009D2548" w:rsidRPr="00B9258D">
        <w:rPr>
          <w:rFonts w:ascii="Bookman Old Style" w:hAnsi="Bookman Old Style"/>
        </w:rPr>
        <w:t xml:space="preserve"> e le </w:t>
      </w:r>
      <w:r>
        <w:rPr>
          <w:rFonts w:ascii="Bookman Old Style" w:hAnsi="Bookman Old Style"/>
        </w:rPr>
        <w:t>C</w:t>
      </w:r>
      <w:r w:rsidR="009D2548" w:rsidRPr="00B9258D">
        <w:rPr>
          <w:rFonts w:ascii="Bookman Old Style" w:hAnsi="Bookman Old Style"/>
        </w:rPr>
        <w:t>ittà metropolitane.</w:t>
      </w:r>
    </w:p>
    <w:p w14:paraId="78B379E5" w14:textId="654C3921" w:rsidR="00972E8B" w:rsidRPr="00B9258D" w:rsidRDefault="00972E8B" w:rsidP="002B40B3">
      <w:pPr>
        <w:autoSpaceDE w:val="0"/>
        <w:autoSpaceDN w:val="0"/>
        <w:adjustRightInd w:val="0"/>
        <w:spacing w:after="0" w:line="240" w:lineRule="auto"/>
        <w:jc w:val="both"/>
        <w:rPr>
          <w:rFonts w:ascii="Bookman Old Style" w:hAnsi="Bookman Old Style" w:cs="TimesNewRomanPS-BoldItalicMT"/>
          <w:i/>
          <w:iCs/>
        </w:rPr>
      </w:pPr>
    </w:p>
    <w:p w14:paraId="383891B0" w14:textId="77777777" w:rsidR="00653DF7" w:rsidRPr="00B9258D" w:rsidRDefault="00653DF7" w:rsidP="002B40B3">
      <w:pPr>
        <w:autoSpaceDE w:val="0"/>
        <w:autoSpaceDN w:val="0"/>
        <w:adjustRightInd w:val="0"/>
        <w:spacing w:after="0" w:line="240" w:lineRule="auto"/>
        <w:jc w:val="both"/>
        <w:rPr>
          <w:rFonts w:ascii="Bookman Old Style" w:hAnsi="Bookman Old Style" w:cs="TimesNewRomanPS-BoldItalicMT"/>
        </w:rPr>
      </w:pPr>
    </w:p>
    <w:p w14:paraId="01E5F29A" w14:textId="5A2727FD" w:rsidR="00982010" w:rsidRPr="00D5746B" w:rsidRDefault="00972E8B" w:rsidP="00653DF7">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D5746B">
        <w:rPr>
          <w:rFonts w:ascii="Bookman Old Style" w:hAnsi="Bookman Old Style" w:cs="TimesNewRomanPS-BoldItalicMT"/>
          <w:b/>
          <w:bCs/>
          <w:color w:val="FF0000"/>
        </w:rPr>
        <w:t>Misure straordinarie in favore delle regioni ed enti locali</w:t>
      </w:r>
      <w:r w:rsidR="00CB0B32" w:rsidRPr="00D5746B">
        <w:rPr>
          <w:rFonts w:ascii="Bookman Old Style" w:hAnsi="Bookman Old Style" w:cs="TimesNewRomanPS-BoldItalicMT"/>
          <w:b/>
          <w:bCs/>
          <w:color w:val="FF0000"/>
        </w:rPr>
        <w:t xml:space="preserve"> (Art. 5)</w:t>
      </w:r>
    </w:p>
    <w:p w14:paraId="14EDEBA5" w14:textId="48E6F674" w:rsidR="003C4641" w:rsidRPr="00EA1BAD" w:rsidRDefault="000606F7" w:rsidP="00562006">
      <w:pPr>
        <w:spacing w:after="0"/>
        <w:jc w:val="both"/>
        <w:rPr>
          <w:rFonts w:ascii="Bookman Old Style" w:hAnsi="Bookman Old Style"/>
        </w:rPr>
      </w:pPr>
      <w:r w:rsidRPr="00B9258D">
        <w:rPr>
          <w:rFonts w:ascii="Bookman Old Style" w:hAnsi="Bookman Old Style" w:cs="Times"/>
        </w:rPr>
        <w:t xml:space="preserve">Vengono stanziati </w:t>
      </w:r>
      <w:r w:rsidRPr="00B9258D">
        <w:rPr>
          <w:rFonts w:ascii="Bookman Old Style" w:hAnsi="Bookman Old Style" w:cs="Times"/>
          <w:b/>
          <w:bCs/>
          <w:u w:val="single"/>
        </w:rPr>
        <w:t xml:space="preserve">ulteriori </w:t>
      </w:r>
      <w:r w:rsidR="00E07DC7" w:rsidRPr="00B9258D">
        <w:rPr>
          <w:rFonts w:ascii="Bookman Old Style" w:hAnsi="Bookman Old Style" w:cs="Times"/>
          <w:b/>
          <w:bCs/>
          <w:u w:val="single"/>
        </w:rPr>
        <w:t>2</w:t>
      </w:r>
      <w:r w:rsidRPr="00B9258D">
        <w:rPr>
          <w:rFonts w:ascii="Bookman Old Style" w:hAnsi="Bookman Old Style" w:cs="Times"/>
          <w:b/>
          <w:bCs/>
          <w:u w:val="single"/>
        </w:rPr>
        <w:t>00 milioni di euro</w:t>
      </w:r>
      <w:r w:rsidR="00263233" w:rsidRPr="00B9258D">
        <w:rPr>
          <w:rFonts w:ascii="Bookman Old Style" w:hAnsi="Bookman Old Style" w:cs="Times"/>
          <w:b/>
          <w:bCs/>
        </w:rPr>
        <w:t xml:space="preserve">, </w:t>
      </w:r>
      <w:r w:rsidR="00263233" w:rsidRPr="00B9258D">
        <w:rPr>
          <w:rFonts w:ascii="Bookman Old Style" w:hAnsi="Bookman Old Style" w:cs="Times"/>
        </w:rPr>
        <w:t>di cui</w:t>
      </w:r>
      <w:r w:rsidR="00263233" w:rsidRPr="00B9258D">
        <w:rPr>
          <w:rFonts w:ascii="Bookman Old Style" w:hAnsi="Bookman Old Style" w:cs="Times"/>
          <w:b/>
          <w:bCs/>
        </w:rPr>
        <w:t xml:space="preserve"> </w:t>
      </w:r>
      <w:r w:rsidR="00263233" w:rsidRPr="00B9258D">
        <w:rPr>
          <w:rFonts w:ascii="Bookman Old Style" w:hAnsi="Bookman Old Style" w:cs="Times"/>
        </w:rPr>
        <w:t xml:space="preserve">160 per i Comuni e 40 milioni per le Città metropolitane </w:t>
      </w:r>
      <w:r w:rsidR="00263233" w:rsidRPr="00EA1BAD">
        <w:rPr>
          <w:rFonts w:ascii="Bookman Old Style" w:hAnsi="Bookman Old Style" w:cs="Times"/>
        </w:rPr>
        <w:t>e le province,</w:t>
      </w:r>
      <w:r w:rsidRPr="00EA1BAD">
        <w:rPr>
          <w:rFonts w:ascii="Bookman Old Style" w:hAnsi="Bookman Old Style" w:cs="Times"/>
        </w:rPr>
        <w:t xml:space="preserve"> a titolo di incremento del fondo straordinario di cui all’art. 27, co. 2, del dl 17/2022. </w:t>
      </w:r>
      <w:r w:rsidR="0019057C" w:rsidRPr="00EA1BAD">
        <w:rPr>
          <w:rFonts w:ascii="Bookman Old Style" w:hAnsi="Bookman Old Style" w:cs="TimesNewRomanPSMT"/>
        </w:rPr>
        <w:t xml:space="preserve">La ripartizione sarà fatta con </w:t>
      </w:r>
      <w:r w:rsidR="00DA6C6B" w:rsidRPr="00EA1BAD">
        <w:rPr>
          <w:rFonts w:ascii="Bookman Old Style" w:hAnsi="Bookman Old Style" w:cs="TimesNewRomanPSMT"/>
        </w:rPr>
        <w:t>decreto del Ministro dell'interno, di</w:t>
      </w:r>
      <w:r w:rsidR="00401595" w:rsidRPr="00EA1BAD">
        <w:rPr>
          <w:rFonts w:ascii="Bookman Old Style" w:hAnsi="Bookman Old Style" w:cs="TimesNewRomanPSMT"/>
        </w:rPr>
        <w:t xml:space="preserve"> </w:t>
      </w:r>
      <w:r w:rsidR="00DA6C6B" w:rsidRPr="00EA1BAD">
        <w:rPr>
          <w:rFonts w:ascii="Bookman Old Style" w:hAnsi="Bookman Old Style" w:cs="TimesNewRomanPSMT"/>
        </w:rPr>
        <w:t xml:space="preserve">concerto con il </w:t>
      </w:r>
      <w:r w:rsidR="0019057C" w:rsidRPr="00EA1BAD">
        <w:rPr>
          <w:rFonts w:ascii="Bookman Old Style" w:hAnsi="Bookman Old Style" w:cs="TimesNewRomanPSMT"/>
        </w:rPr>
        <w:t>MEF</w:t>
      </w:r>
      <w:r w:rsidR="00401595" w:rsidRPr="00EA1BAD">
        <w:rPr>
          <w:rFonts w:ascii="Bookman Old Style" w:hAnsi="Bookman Old Style" w:cs="TimesNewRomanPSMT"/>
        </w:rPr>
        <w:t xml:space="preserve"> e </w:t>
      </w:r>
      <w:r w:rsidR="007265C5" w:rsidRPr="00EA1BAD">
        <w:rPr>
          <w:rFonts w:ascii="Bookman Old Style" w:hAnsi="Bookman Old Style" w:cs="TimesNewRomanPSMT"/>
        </w:rPr>
        <w:t xml:space="preserve">gli </w:t>
      </w:r>
      <w:r w:rsidR="00401595" w:rsidRPr="00EA1BAD">
        <w:rPr>
          <w:rFonts w:ascii="Bookman Old Style" w:hAnsi="Bookman Old Style" w:cs="TimesNewRomanPSMT"/>
        </w:rPr>
        <w:t>A</w:t>
      </w:r>
      <w:r w:rsidR="00DA6C6B" w:rsidRPr="00EA1BAD">
        <w:rPr>
          <w:rFonts w:ascii="Bookman Old Style" w:hAnsi="Bookman Old Style" w:cs="TimesNewRomanPSMT"/>
        </w:rPr>
        <w:t>ffari</w:t>
      </w:r>
      <w:r w:rsidR="00401595" w:rsidRPr="00EA1BAD">
        <w:rPr>
          <w:rFonts w:ascii="Bookman Old Style" w:hAnsi="Bookman Old Style" w:cs="TimesNewRomanPSMT"/>
        </w:rPr>
        <w:t xml:space="preserve"> </w:t>
      </w:r>
      <w:r w:rsidR="00DA6C6B" w:rsidRPr="00EA1BAD">
        <w:rPr>
          <w:rFonts w:ascii="Bookman Old Style" w:hAnsi="Bookman Old Style" w:cs="TimesNewRomanPSMT"/>
        </w:rPr>
        <w:t xml:space="preserve">regionali e le autonomie, previa intesa in Conferenza Stato-città </w:t>
      </w:r>
      <w:r w:rsidR="00401595" w:rsidRPr="00EA1BAD">
        <w:rPr>
          <w:rFonts w:ascii="Bookman Old Style" w:hAnsi="Bookman Old Style" w:cs="TimesNewRomanPSMT"/>
        </w:rPr>
        <w:t xml:space="preserve">entro il </w:t>
      </w:r>
      <w:r w:rsidR="00DA6C6B" w:rsidRPr="00EA1BAD">
        <w:rPr>
          <w:rFonts w:ascii="Bookman Old Style" w:hAnsi="Bookman Old Style" w:cs="TimesNewRomanPSMT"/>
        </w:rPr>
        <w:t>31 ottobre 2022, in relazione alla spesa per utenze di energia</w:t>
      </w:r>
      <w:r w:rsidR="00401595" w:rsidRPr="00EA1BAD">
        <w:rPr>
          <w:rFonts w:ascii="Bookman Old Style" w:hAnsi="Bookman Old Style" w:cs="TimesNewRomanPSMT"/>
        </w:rPr>
        <w:t xml:space="preserve"> </w:t>
      </w:r>
      <w:r w:rsidR="00DA6C6B" w:rsidRPr="00EA1BAD">
        <w:rPr>
          <w:rFonts w:ascii="Bookman Old Style" w:hAnsi="Bookman Old Style" w:cs="TimesNewRomanPSMT"/>
        </w:rPr>
        <w:t>elettrica e gas.</w:t>
      </w:r>
      <w:r w:rsidR="00562006">
        <w:rPr>
          <w:rFonts w:ascii="Bookman Old Style" w:hAnsi="Bookman Old Style" w:cs="TimesNewRomanPSMT"/>
        </w:rPr>
        <w:t xml:space="preserve"> </w:t>
      </w:r>
      <w:proofErr w:type="gramStart"/>
      <w:r w:rsidR="00EA1BAD" w:rsidRPr="00EA1BAD">
        <w:rPr>
          <w:rFonts w:ascii="Bookman Old Style" w:hAnsi="Bookman Old Style"/>
        </w:rPr>
        <w:t>Inoltre</w:t>
      </w:r>
      <w:proofErr w:type="gramEnd"/>
      <w:r w:rsidR="00EA1BAD" w:rsidRPr="00EA1BAD">
        <w:rPr>
          <w:rFonts w:ascii="Bookman Old Style" w:hAnsi="Bookman Old Style"/>
        </w:rPr>
        <w:t xml:space="preserve"> al comma 5</w:t>
      </w:r>
      <w:r w:rsidR="003C4641" w:rsidRPr="00EA1BAD">
        <w:rPr>
          <w:rFonts w:ascii="Bookman Old Style" w:hAnsi="Bookman Old Style"/>
        </w:rPr>
        <w:t xml:space="preserve"> si prevede un </w:t>
      </w:r>
      <w:r w:rsidR="003C4641" w:rsidRPr="00562006">
        <w:rPr>
          <w:rFonts w:ascii="Bookman Old Style" w:hAnsi="Bookman Old Style"/>
          <w:u w:val="single"/>
        </w:rPr>
        <w:t>contributo una tantum</w:t>
      </w:r>
      <w:r w:rsidR="003C4641" w:rsidRPr="00EA1BAD">
        <w:rPr>
          <w:rFonts w:ascii="Bookman Old Style" w:hAnsi="Bookman Old Style"/>
        </w:rPr>
        <w:t xml:space="preserve"> per le strutture sanitarie private accreditate, a valere sull’incremento di risorse del finanziamento del fabbisogno sanitario nazionale standard (competenza regionale). </w:t>
      </w:r>
    </w:p>
    <w:p w14:paraId="78FC725B" w14:textId="7D67B00C" w:rsidR="00A16FDA" w:rsidRPr="00D5746B" w:rsidRDefault="003C4641" w:rsidP="009843CF">
      <w:pPr>
        <w:rPr>
          <w:rFonts w:ascii="Bookman Old Style" w:hAnsi="Bookman Old Style" w:cs="TimesNewRomanPSMT"/>
          <w:color w:val="FF0000"/>
        </w:rPr>
      </w:pPr>
      <w:r>
        <w:t> </w:t>
      </w:r>
    </w:p>
    <w:p w14:paraId="29E5FF6C" w14:textId="7F42EA36" w:rsidR="0008082E" w:rsidRPr="00D5746B" w:rsidRDefault="0008082E" w:rsidP="00F132B6">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D5746B">
        <w:rPr>
          <w:rFonts w:ascii="Bookman Old Style" w:hAnsi="Bookman Old Style" w:cs="TimesNewRomanPS-BoldItalicMT"/>
          <w:b/>
          <w:bCs/>
          <w:color w:val="FF0000"/>
        </w:rPr>
        <w:t xml:space="preserve">Disposizioni urgenti in materia di trasporto pubblico locale e regionale (Art. 6) </w:t>
      </w:r>
    </w:p>
    <w:p w14:paraId="18054191" w14:textId="2901FF0F" w:rsidR="0008082E" w:rsidRDefault="0008082E" w:rsidP="00A4489E">
      <w:pPr>
        <w:pStyle w:val="Default"/>
        <w:jc w:val="both"/>
        <w:rPr>
          <w:rFonts w:ascii="Bookman Old Style" w:hAnsi="Bookman Old Style"/>
          <w:color w:val="auto"/>
          <w:sz w:val="22"/>
          <w:szCs w:val="22"/>
        </w:rPr>
      </w:pPr>
      <w:r w:rsidRPr="00B9258D">
        <w:rPr>
          <w:rFonts w:ascii="Bookman Old Style" w:hAnsi="Bookman Old Style"/>
          <w:color w:val="auto"/>
          <w:sz w:val="22"/>
          <w:szCs w:val="22"/>
        </w:rPr>
        <w:t xml:space="preserve">Il fondo per il TPL è incrementato di ulteriori </w:t>
      </w:r>
      <w:r w:rsidRPr="006721D1">
        <w:rPr>
          <w:rFonts w:ascii="Bookman Old Style" w:hAnsi="Bookman Old Style"/>
          <w:b/>
          <w:bCs/>
          <w:color w:val="auto"/>
          <w:sz w:val="22"/>
          <w:szCs w:val="22"/>
        </w:rPr>
        <w:t>100 milioni di euro</w:t>
      </w:r>
      <w:r w:rsidRPr="00B9258D">
        <w:rPr>
          <w:rFonts w:ascii="Bookman Old Style" w:hAnsi="Bookman Old Style"/>
          <w:color w:val="auto"/>
          <w:sz w:val="22"/>
          <w:szCs w:val="22"/>
        </w:rPr>
        <w:t xml:space="preserve"> per l'incremento di costo, al netto dell'imposta sul valore aggiunto, sostenuto nel terzo quadrimestre 2022, per l'acquisto del carburante per l'alimentazione dei mezzi di trasporto destinati al trasporto pubblico locale e regionale su strada, lacuale, marittimo o ferroviario. Con decreto del MIT, di concerto con il MEF e previa intesa in sede di Conferenza </w:t>
      </w:r>
      <w:proofErr w:type="gramStart"/>
      <w:r w:rsidRPr="00B9258D">
        <w:rPr>
          <w:rFonts w:ascii="Bookman Old Style" w:hAnsi="Bookman Old Style"/>
          <w:color w:val="auto"/>
          <w:sz w:val="22"/>
          <w:szCs w:val="22"/>
        </w:rPr>
        <w:t>Unificata  da</w:t>
      </w:r>
      <w:proofErr w:type="gramEnd"/>
      <w:r w:rsidRPr="00B9258D">
        <w:rPr>
          <w:rFonts w:ascii="Bookman Old Style" w:hAnsi="Bookman Old Style"/>
          <w:color w:val="auto"/>
          <w:sz w:val="22"/>
          <w:szCs w:val="22"/>
        </w:rPr>
        <w:t xml:space="preserve"> adottare entro il 31 ottobre 2022, sono stabiliti i criteri di riparto delle risorse tra gli enti territoriali competenti per i servizi di trasporto pubblico e regionali interessati e le modalità per il riconoscimento</w:t>
      </w:r>
      <w:r w:rsidR="00584AA2" w:rsidRPr="00B9258D">
        <w:rPr>
          <w:rFonts w:ascii="Bookman Old Style" w:hAnsi="Bookman Old Style"/>
          <w:color w:val="auto"/>
          <w:sz w:val="22"/>
          <w:szCs w:val="22"/>
        </w:rPr>
        <w:t xml:space="preserve"> </w:t>
      </w:r>
      <w:r w:rsidRPr="00B9258D">
        <w:rPr>
          <w:rFonts w:ascii="Bookman Old Style" w:hAnsi="Bookman Old Style"/>
          <w:color w:val="auto"/>
          <w:sz w:val="22"/>
          <w:szCs w:val="22"/>
        </w:rPr>
        <w:t>del contributo alle imprese di trasporto pubblico locale e regionale</w:t>
      </w:r>
      <w:r w:rsidR="00687E1F" w:rsidRPr="00B9258D">
        <w:rPr>
          <w:rFonts w:ascii="Bookman Old Style" w:hAnsi="Bookman Old Style"/>
          <w:color w:val="auto"/>
          <w:sz w:val="22"/>
          <w:szCs w:val="22"/>
        </w:rPr>
        <w:t>.</w:t>
      </w:r>
      <w:r w:rsidRPr="00B9258D">
        <w:rPr>
          <w:rFonts w:ascii="Bookman Old Style" w:hAnsi="Bookman Old Style"/>
          <w:color w:val="auto"/>
          <w:sz w:val="22"/>
          <w:szCs w:val="22"/>
        </w:rPr>
        <w:t xml:space="preserve"> </w:t>
      </w:r>
    </w:p>
    <w:p w14:paraId="4CA2B9F7" w14:textId="77777777" w:rsidR="00F01630" w:rsidRPr="00B9258D" w:rsidRDefault="00F01630" w:rsidP="00A4489E">
      <w:pPr>
        <w:pStyle w:val="Default"/>
        <w:jc w:val="both"/>
        <w:rPr>
          <w:rFonts w:ascii="Bookman Old Style" w:hAnsi="Bookman Old Style" w:cs="TimesNewRomanPSMT"/>
          <w:color w:val="auto"/>
          <w:sz w:val="22"/>
          <w:szCs w:val="22"/>
        </w:rPr>
      </w:pPr>
    </w:p>
    <w:p w14:paraId="5304FACD" w14:textId="19C51891" w:rsidR="0008082E" w:rsidRDefault="0008082E" w:rsidP="00401595">
      <w:pPr>
        <w:spacing w:after="0"/>
        <w:jc w:val="both"/>
        <w:rPr>
          <w:rFonts w:ascii="Bookman Old Style" w:hAnsi="Bookman Old Style" w:cs="TimesNewRomanPSMT"/>
        </w:rPr>
      </w:pPr>
    </w:p>
    <w:p w14:paraId="292FFFB4" w14:textId="77777777" w:rsidR="00F01630" w:rsidRPr="00801CA4" w:rsidRDefault="00F01630" w:rsidP="00F01630">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801CA4">
        <w:rPr>
          <w:rFonts w:ascii="Bookman Old Style" w:hAnsi="Bookman Old Style" w:cs="TimesNewRomanPS-BoldItalicMT"/>
          <w:b/>
          <w:bCs/>
          <w:color w:val="FF0000"/>
        </w:rPr>
        <w:t>Disposizioni urgenti in materia di sport (Art. 7)</w:t>
      </w:r>
    </w:p>
    <w:p w14:paraId="64791927" w14:textId="7A617DDB" w:rsidR="00F01630" w:rsidRDefault="00F01630" w:rsidP="00F01630">
      <w:pPr>
        <w:autoSpaceDE w:val="0"/>
        <w:autoSpaceDN w:val="0"/>
        <w:jc w:val="both"/>
        <w:rPr>
          <w:rFonts w:ascii="Bookman Old Style" w:hAnsi="Bookman Old Style"/>
        </w:rPr>
      </w:pPr>
      <w:r w:rsidRPr="00F01630">
        <w:rPr>
          <w:rFonts w:ascii="Bookman Old Style" w:hAnsi="Bookman Old Style" w:cs="Times New Roman"/>
        </w:rPr>
        <w:t xml:space="preserve">La norma </w:t>
      </w:r>
      <w:r w:rsidR="00F85883">
        <w:rPr>
          <w:rFonts w:ascii="Bookman Old Style" w:hAnsi="Bookman Old Style" w:cs="Times New Roman"/>
        </w:rPr>
        <w:t>prevede</w:t>
      </w:r>
      <w:r>
        <w:rPr>
          <w:rFonts w:ascii="Bookman Old Style" w:hAnsi="Bookman Old Style"/>
        </w:rPr>
        <w:t xml:space="preserve"> </w:t>
      </w:r>
      <w:r>
        <w:rPr>
          <w:rFonts w:ascii="Bookman Old Style" w:hAnsi="Bookman Old Style"/>
          <w:b/>
          <w:bCs/>
        </w:rPr>
        <w:t>50 milioni di euro per il 2022</w:t>
      </w:r>
      <w:r>
        <w:rPr>
          <w:rFonts w:ascii="Bookman Old Style" w:hAnsi="Bookman Old Style"/>
        </w:rPr>
        <w:t xml:space="preserve"> </w:t>
      </w:r>
      <w:r w:rsidR="00F85883">
        <w:rPr>
          <w:rFonts w:ascii="Bookman Old Style" w:hAnsi="Bookman Old Style"/>
        </w:rPr>
        <w:t xml:space="preserve">per </w:t>
      </w:r>
      <w:r>
        <w:rPr>
          <w:rFonts w:ascii="Bookman Old Style" w:hAnsi="Bookman Old Style"/>
        </w:rPr>
        <w:t>il Fondo</w:t>
      </w:r>
      <w:r>
        <w:rPr>
          <w:rFonts w:ascii="Bookman Old Style" w:hAnsi="Bookman Old Style"/>
          <w:color w:val="000000"/>
          <w:shd w:val="clear" w:color="auto" w:fill="FFFFFF"/>
        </w:rPr>
        <w:t xml:space="preserve"> unico a sostegno del potenziamento del movimento sportivo italiano</w:t>
      </w:r>
      <w:r>
        <w:t xml:space="preserve"> </w:t>
      </w:r>
      <w:r>
        <w:rPr>
          <w:rFonts w:ascii="Bookman Old Style" w:hAnsi="Bookman Old Style"/>
        </w:rPr>
        <w:t xml:space="preserve">per destinarle all’erogazione di contributi a fondo perduto per le associazioni e società sportive dilettantistiche, per le discipline </w:t>
      </w:r>
      <w:r>
        <w:rPr>
          <w:rFonts w:ascii="Bookman Old Style" w:hAnsi="Bookman Old Style"/>
        </w:rPr>
        <w:lastRenderedPageBreak/>
        <w:t>sportive, per gli enti di promozione sportiva e per le federazioni sportive, anche nel settore paralimpico, che gestiscono impianti sportivi e piscine.</w:t>
      </w:r>
    </w:p>
    <w:p w14:paraId="14C6DC84" w14:textId="3DF3C2B3" w:rsidR="00F01630" w:rsidRDefault="00F01630" w:rsidP="00F01630">
      <w:pPr>
        <w:autoSpaceDE w:val="0"/>
        <w:autoSpaceDN w:val="0"/>
        <w:jc w:val="both"/>
        <w:rPr>
          <w:rFonts w:ascii="Bookman Old Style" w:hAnsi="Bookman Old Style"/>
        </w:rPr>
      </w:pPr>
      <w:r>
        <w:rPr>
          <w:rFonts w:ascii="Bookman Old Style" w:hAnsi="Bookman Old Style"/>
        </w:rPr>
        <w:t xml:space="preserve">Entro </w:t>
      </w:r>
      <w:proofErr w:type="gramStart"/>
      <w:r w:rsidRPr="00801CA4">
        <w:rPr>
          <w:rFonts w:ascii="Bookman Old Style" w:hAnsi="Bookman Old Style"/>
          <w:u w:val="single"/>
        </w:rPr>
        <w:t>30  giorni</w:t>
      </w:r>
      <w:proofErr w:type="gramEnd"/>
      <w:r w:rsidRPr="00801CA4">
        <w:rPr>
          <w:rFonts w:ascii="Bookman Old Style" w:hAnsi="Bookman Old Style"/>
          <w:u w:val="single"/>
        </w:rPr>
        <w:t xml:space="preserve"> dalla data di entrata in vigore del decreto legge (2</w:t>
      </w:r>
      <w:r w:rsidR="006721D1" w:rsidRPr="00801CA4">
        <w:rPr>
          <w:rFonts w:ascii="Bookman Old Style" w:hAnsi="Bookman Old Style"/>
          <w:u w:val="single"/>
        </w:rPr>
        <w:t>3</w:t>
      </w:r>
      <w:r w:rsidRPr="00801CA4">
        <w:rPr>
          <w:rFonts w:ascii="Bookman Old Style" w:hAnsi="Bookman Old Style"/>
          <w:u w:val="single"/>
        </w:rPr>
        <w:t xml:space="preserve"> ottobre)</w:t>
      </w:r>
      <w:r>
        <w:rPr>
          <w:rFonts w:ascii="Bookman Old Style" w:hAnsi="Bookman Old Style"/>
        </w:rPr>
        <w:t xml:space="preserve"> con  decreto dell’Autorità politica delegata in materia di sport saranno individuati le modalità e i termini di presentazione delle richieste di erogazione dei contributi, i criteri di ammissione, le modalità di erogazione, nonché le procedure di controllo, da effettuarsi anche a campione.</w:t>
      </w:r>
    </w:p>
    <w:p w14:paraId="3034B4AA" w14:textId="77777777" w:rsidR="004421A9" w:rsidRPr="00801CA4" w:rsidRDefault="004421A9" w:rsidP="00F01630">
      <w:pPr>
        <w:autoSpaceDE w:val="0"/>
        <w:autoSpaceDN w:val="0"/>
        <w:jc w:val="both"/>
        <w:rPr>
          <w:rFonts w:ascii="Bookman Old Style" w:hAnsi="Bookman Old Style"/>
          <w:color w:val="FF0000"/>
        </w:rPr>
      </w:pPr>
    </w:p>
    <w:p w14:paraId="2A3FB194" w14:textId="5007E203" w:rsidR="009843CF" w:rsidRPr="00801CA4" w:rsidRDefault="004421A9" w:rsidP="004421A9">
      <w:pPr>
        <w:pStyle w:val="Paragrafoelenco"/>
        <w:numPr>
          <w:ilvl w:val="0"/>
          <w:numId w:val="9"/>
        </w:numPr>
        <w:rPr>
          <w:rFonts w:ascii="Bookman Old Style" w:hAnsi="Bookman Old Style" w:cs="TimesNewRomanPS-BoldItalicMT"/>
          <w:b/>
          <w:bCs/>
          <w:color w:val="FF0000"/>
        </w:rPr>
      </w:pPr>
      <w:r w:rsidRPr="00801CA4">
        <w:rPr>
          <w:rFonts w:ascii="Bookman Old Style" w:hAnsi="Bookman Old Style" w:cs="TimesNewRomanPS-BoldItalicMT"/>
          <w:b/>
          <w:bCs/>
          <w:color w:val="FF0000"/>
        </w:rPr>
        <w:t>Disposizioni urgenti in favore degli enti del terzo settore (Art. 8)</w:t>
      </w:r>
    </w:p>
    <w:p w14:paraId="66F05A02" w14:textId="604036C9" w:rsidR="009843CF" w:rsidRPr="00E07D16" w:rsidRDefault="009843CF" w:rsidP="00E07D16">
      <w:pPr>
        <w:jc w:val="both"/>
        <w:rPr>
          <w:rFonts w:ascii="Bookman Old Style" w:hAnsi="Bookman Old Style"/>
        </w:rPr>
      </w:pPr>
      <w:r w:rsidRPr="00E07D16">
        <w:rPr>
          <w:rFonts w:ascii="Bookman Old Style" w:hAnsi="Bookman Old Style"/>
        </w:rPr>
        <w:t>All’art. 8</w:t>
      </w:r>
      <w:r w:rsidR="004421A9" w:rsidRPr="00E07D16">
        <w:rPr>
          <w:rFonts w:ascii="Bookman Old Style" w:hAnsi="Bookman Old Style"/>
        </w:rPr>
        <w:t xml:space="preserve"> </w:t>
      </w:r>
      <w:r w:rsidRPr="00E07D16">
        <w:rPr>
          <w:rFonts w:ascii="Bookman Old Style" w:hAnsi="Bookman Old Style"/>
        </w:rPr>
        <w:t>si prevedono due contributi diversi, ma entrambi destinati solo agli enti del terzo settore</w:t>
      </w:r>
      <w:r w:rsidR="00E07D16" w:rsidRPr="00E07D16">
        <w:rPr>
          <w:rFonts w:ascii="Bookman Old Style" w:hAnsi="Bookman Old Style"/>
        </w:rPr>
        <w:t>:</w:t>
      </w:r>
      <w:r w:rsidRPr="00E07D16">
        <w:rPr>
          <w:rFonts w:ascii="Bookman Old Style" w:hAnsi="Bookman Old Style"/>
        </w:rPr>
        <w:t> </w:t>
      </w:r>
    </w:p>
    <w:p w14:paraId="2DB9FB1C" w14:textId="74A15161" w:rsidR="009843CF" w:rsidRPr="003962DA" w:rsidRDefault="004B2FCE" w:rsidP="00B5109D">
      <w:pPr>
        <w:pStyle w:val="Paragrafoelenco"/>
        <w:numPr>
          <w:ilvl w:val="0"/>
          <w:numId w:val="10"/>
        </w:numPr>
        <w:jc w:val="both"/>
        <w:rPr>
          <w:rFonts w:ascii="Bookman Old Style" w:hAnsi="Bookman Old Style"/>
          <w:b/>
          <w:bCs/>
          <w:u w:val="single"/>
        </w:rPr>
      </w:pPr>
      <w:r>
        <w:rPr>
          <w:rFonts w:ascii="Bookman Old Style" w:hAnsi="Bookman Old Style"/>
        </w:rPr>
        <w:t>Lo s</w:t>
      </w:r>
      <w:r w:rsidR="00B5109D">
        <w:rPr>
          <w:rFonts w:ascii="Bookman Old Style" w:hAnsi="Bookman Old Style"/>
        </w:rPr>
        <w:t>t</w:t>
      </w:r>
      <w:r w:rsidR="009843CF" w:rsidRPr="00E07D16">
        <w:rPr>
          <w:rFonts w:ascii="Bookman Old Style" w:hAnsi="Bookman Old Style"/>
        </w:rPr>
        <w:t xml:space="preserve">anziamento </w:t>
      </w:r>
      <w:r w:rsidR="009843CF" w:rsidRPr="003962DA">
        <w:rPr>
          <w:rFonts w:ascii="Bookman Old Style" w:hAnsi="Bookman Old Style"/>
        </w:rPr>
        <w:t xml:space="preserve">di </w:t>
      </w:r>
      <w:r w:rsidR="009843CF" w:rsidRPr="003962DA">
        <w:rPr>
          <w:rFonts w:ascii="Bookman Old Style" w:hAnsi="Bookman Old Style"/>
          <w:b/>
          <w:bCs/>
        </w:rPr>
        <w:t>120 milioni per il 2022</w:t>
      </w:r>
      <w:r w:rsidR="009843CF" w:rsidRPr="00E07D16">
        <w:rPr>
          <w:rFonts w:ascii="Bookman Old Style" w:hAnsi="Bookman Old Style"/>
        </w:rPr>
        <w:t xml:space="preserve"> per il riconoscimento di un contributo straordinario (calcolato in proporzione ai costi sostenuti nell’analogo periodo 2021) destinato agli enti </w:t>
      </w:r>
      <w:r w:rsidR="009843CF" w:rsidRPr="00B5109D">
        <w:rPr>
          <w:rFonts w:ascii="Bookman Old Style" w:hAnsi="Bookman Old Style"/>
        </w:rPr>
        <w:t xml:space="preserve">del terzo settore che gestiscono </w:t>
      </w:r>
      <w:r w:rsidR="009843CF" w:rsidRPr="003962DA">
        <w:rPr>
          <w:rFonts w:ascii="Bookman Old Style" w:hAnsi="Bookman Old Style"/>
          <w:b/>
          <w:bCs/>
        </w:rPr>
        <w:t>servizi sociosanitari e sociali</w:t>
      </w:r>
      <w:r w:rsidR="009843CF" w:rsidRPr="00B5109D">
        <w:rPr>
          <w:rFonts w:ascii="Bookman Old Style" w:hAnsi="Bookman Old Style"/>
        </w:rPr>
        <w:t xml:space="preserve"> svolti in regime residenziale e semiresidenziale rivolti a persone con disabilità </w:t>
      </w:r>
      <w:r w:rsidR="009843CF" w:rsidRPr="003962DA">
        <w:rPr>
          <w:rFonts w:ascii="Bookman Old Style" w:hAnsi="Bookman Old Style"/>
          <w:b/>
          <w:bCs/>
          <w:u w:val="single"/>
        </w:rPr>
        <w:t>anche su affidamento del Comune</w:t>
      </w:r>
      <w:r w:rsidR="00F5285B" w:rsidRPr="003962DA">
        <w:rPr>
          <w:rFonts w:ascii="Bookman Old Style" w:hAnsi="Bookman Old Style"/>
          <w:b/>
          <w:bCs/>
          <w:u w:val="single"/>
        </w:rPr>
        <w:t>;</w:t>
      </w:r>
    </w:p>
    <w:p w14:paraId="6F9E5351" w14:textId="0FA14118" w:rsidR="009843CF" w:rsidRPr="00B5109D" w:rsidRDefault="004B2FCE" w:rsidP="00B5109D">
      <w:pPr>
        <w:pStyle w:val="Paragrafoelenco"/>
        <w:numPr>
          <w:ilvl w:val="0"/>
          <w:numId w:val="10"/>
        </w:numPr>
        <w:jc w:val="both"/>
        <w:rPr>
          <w:rFonts w:ascii="Bookman Old Style" w:hAnsi="Bookman Old Style"/>
        </w:rPr>
      </w:pPr>
      <w:r>
        <w:rPr>
          <w:rFonts w:ascii="Bookman Old Style" w:hAnsi="Bookman Old Style"/>
        </w:rPr>
        <w:t xml:space="preserve">Lo </w:t>
      </w:r>
      <w:r w:rsidR="009843CF" w:rsidRPr="00B5109D">
        <w:rPr>
          <w:rFonts w:ascii="Bookman Old Style" w:hAnsi="Bookman Old Style"/>
        </w:rPr>
        <w:t xml:space="preserve">stanziamento di 50 milioni per il 2022 per il riconoscimento di un contributo straordinario (calcolato in proporzione ai costi sostenuti nell’analogo periodo 2021) destinato genericamente a tutti gli enti del terzo settore (iscritti al Registro unico nazionale del Terzo settore) indipendentemente dal settore di attività. </w:t>
      </w:r>
    </w:p>
    <w:p w14:paraId="240A660E" w14:textId="58001E52" w:rsidR="009843CF" w:rsidRPr="003F3658" w:rsidRDefault="009843CF" w:rsidP="003F3658">
      <w:pPr>
        <w:jc w:val="both"/>
        <w:rPr>
          <w:rFonts w:ascii="Bookman Old Style" w:hAnsi="Bookman Old Style"/>
          <w:b/>
          <w:bCs/>
        </w:rPr>
      </w:pPr>
      <w:r w:rsidRPr="00E56FA5">
        <w:rPr>
          <w:rFonts w:ascii="Bookman Old Style" w:hAnsi="Bookman Old Style"/>
        </w:rPr>
        <w:t xml:space="preserve">Con </w:t>
      </w:r>
      <w:r w:rsidRPr="006E4B42">
        <w:rPr>
          <w:rFonts w:ascii="Bookman Old Style" w:hAnsi="Bookman Old Style"/>
          <w:b/>
          <w:bCs/>
        </w:rPr>
        <w:t>DPCM</w:t>
      </w:r>
      <w:r w:rsidRPr="00E56FA5">
        <w:rPr>
          <w:rFonts w:ascii="Bookman Old Style" w:hAnsi="Bookman Old Style"/>
        </w:rPr>
        <w:t xml:space="preserve"> (di concerto con il Ministro alla Disabilità, MEF e MLPS), </w:t>
      </w:r>
      <w:r w:rsidRPr="006E4B42">
        <w:rPr>
          <w:rFonts w:ascii="Bookman Old Style" w:hAnsi="Bookman Old Style"/>
          <w:u w:val="single"/>
        </w:rPr>
        <w:t xml:space="preserve">entro 30 giorni dall’entrata in vigore del </w:t>
      </w:r>
      <w:proofErr w:type="gramStart"/>
      <w:r w:rsidRPr="006E4B42">
        <w:rPr>
          <w:rFonts w:ascii="Bookman Old Style" w:hAnsi="Bookman Old Style"/>
          <w:u w:val="single"/>
        </w:rPr>
        <w:t>decreto</w:t>
      </w:r>
      <w:r w:rsidR="00151DC4" w:rsidRPr="006E4B42">
        <w:rPr>
          <w:rFonts w:ascii="Bookman Old Style" w:hAnsi="Bookman Old Style"/>
          <w:u w:val="single"/>
        </w:rPr>
        <w:t xml:space="preserve"> legge</w:t>
      </w:r>
      <w:proofErr w:type="gramEnd"/>
      <w:r w:rsidR="006E4B42" w:rsidRPr="006E4B42">
        <w:rPr>
          <w:rFonts w:ascii="Bookman Old Style" w:hAnsi="Bookman Old Style"/>
          <w:u w:val="single"/>
        </w:rPr>
        <w:t xml:space="preserve"> (23 ottobre)</w:t>
      </w:r>
      <w:r w:rsidRPr="006E4B42">
        <w:rPr>
          <w:rFonts w:ascii="Bookman Old Style" w:hAnsi="Bookman Old Style"/>
          <w:u w:val="single"/>
        </w:rPr>
        <w:t>,</w:t>
      </w:r>
      <w:r w:rsidRPr="00E56FA5">
        <w:rPr>
          <w:rFonts w:ascii="Bookman Old Style" w:hAnsi="Bookman Old Style"/>
        </w:rPr>
        <w:t xml:space="preserve"> sono individuate le modalità e i termini di presentazione delle richieste di erogazione dei suddetti contributi, le relative modalità di erogazione nonché le procedure di controllo. </w:t>
      </w:r>
      <w:r w:rsidR="003F3658" w:rsidRPr="003F3658">
        <w:rPr>
          <w:rFonts w:ascii="Bookman Old Style" w:hAnsi="Bookman Old Style"/>
          <w:b/>
          <w:bCs/>
        </w:rPr>
        <w:t>Si segnala che d</w:t>
      </w:r>
      <w:r w:rsidRPr="003F3658">
        <w:rPr>
          <w:rFonts w:ascii="Bookman Old Style" w:hAnsi="Bookman Old Style"/>
          <w:b/>
          <w:bCs/>
        </w:rPr>
        <w:t xml:space="preserve">ai contributi sono quindi escluse le strutture pubbliche a gestione diretta del Comune.  Inoltre, nessuno di questi contributi è dedicato alle strutture per anziani non autosufficienti, che pure sono in forte sofferenza. </w:t>
      </w:r>
    </w:p>
    <w:p w14:paraId="5D25C42E" w14:textId="0CE3F1E1" w:rsidR="00CF25CF" w:rsidRPr="00B9258D" w:rsidRDefault="00CF25CF" w:rsidP="00401595">
      <w:pPr>
        <w:spacing w:after="0"/>
        <w:jc w:val="both"/>
        <w:rPr>
          <w:rFonts w:ascii="Bookman Old Style" w:hAnsi="Bookman Old Style" w:cs="TimesNewRomanPSMT"/>
        </w:rPr>
      </w:pPr>
    </w:p>
    <w:p w14:paraId="1FC2FE10" w14:textId="1527B530" w:rsidR="00CF25CF" w:rsidRPr="00801CA4" w:rsidRDefault="00CF25CF" w:rsidP="002D125E">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801CA4">
        <w:rPr>
          <w:rFonts w:ascii="Bookman Old Style" w:hAnsi="Bookman Old Style" w:cs="TimesNewRomanPS-BoldItalicMT"/>
          <w:b/>
          <w:bCs/>
          <w:color w:val="FF0000"/>
        </w:rPr>
        <w:t>Contributo del Ministero dell’interno alla resilienza energetica nazionale</w:t>
      </w:r>
      <w:r w:rsidR="00624D93" w:rsidRPr="00801CA4">
        <w:rPr>
          <w:rFonts w:ascii="Bookman Old Style" w:hAnsi="Bookman Old Style" w:cs="TimesNewRomanPS-BoldItalicMT"/>
          <w:b/>
          <w:bCs/>
          <w:color w:val="FF0000"/>
        </w:rPr>
        <w:t xml:space="preserve"> (Art. 10)</w:t>
      </w:r>
    </w:p>
    <w:p w14:paraId="26E9BF8E" w14:textId="6E4A1A29" w:rsidR="00CF25CF" w:rsidRPr="00B9258D" w:rsidRDefault="00D13D19" w:rsidP="00A84D2A">
      <w:pPr>
        <w:autoSpaceDE w:val="0"/>
        <w:autoSpaceDN w:val="0"/>
        <w:adjustRightInd w:val="0"/>
        <w:spacing w:after="0" w:line="240" w:lineRule="auto"/>
        <w:jc w:val="both"/>
        <w:rPr>
          <w:rFonts w:ascii="Bookman Old Style" w:hAnsi="Bookman Old Style" w:cs="TimesNewRomanPS-BoldItalicMT"/>
          <w:b/>
          <w:bCs/>
          <w:i/>
          <w:iCs/>
        </w:rPr>
      </w:pPr>
      <w:r w:rsidRPr="00B9258D">
        <w:rPr>
          <w:rFonts w:ascii="Bookman Old Style" w:hAnsi="Bookman Old Style" w:cs="TimesNewRomanPSMT"/>
        </w:rPr>
        <w:t>Per</w:t>
      </w:r>
      <w:r w:rsidR="00CF25CF" w:rsidRPr="00B9258D">
        <w:rPr>
          <w:rFonts w:ascii="Bookman Old Style" w:hAnsi="Bookman Old Style" w:cs="TimesNewRomanPSMT"/>
        </w:rPr>
        <w:t xml:space="preserve"> contribuire alla crescita sostenibile del Paese</w:t>
      </w:r>
      <w:r w:rsidR="00E84518" w:rsidRPr="00B9258D">
        <w:rPr>
          <w:rFonts w:ascii="Bookman Old Style" w:hAnsi="Bookman Old Style" w:cs="TimesNewRomanPSMT"/>
        </w:rPr>
        <w:t xml:space="preserve"> e per</w:t>
      </w:r>
      <w:r w:rsidR="00CF25CF" w:rsidRPr="00B9258D">
        <w:rPr>
          <w:rFonts w:ascii="Bookman Old Style" w:hAnsi="Bookman Old Style" w:cs="TimesNewRomanPSMT"/>
        </w:rPr>
        <w:t xml:space="preserve"> il perseguimento della resilienza energetica nazionale, il</w:t>
      </w:r>
      <w:r w:rsidRPr="00B9258D">
        <w:rPr>
          <w:rFonts w:ascii="Bookman Old Style" w:hAnsi="Bookman Old Style" w:cs="TimesNewRomanPSMT"/>
        </w:rPr>
        <w:t xml:space="preserve"> </w:t>
      </w:r>
      <w:r w:rsidR="00CF25CF" w:rsidRPr="00B9258D">
        <w:rPr>
          <w:rFonts w:ascii="Bookman Old Style" w:hAnsi="Bookman Old Style" w:cs="TimesNewRomanPSMT"/>
        </w:rPr>
        <w:t>Ministero dell’interno utilizza direttamente o affida in concessione, in tutto o in parte,</w:t>
      </w:r>
      <w:r w:rsidRPr="00B9258D">
        <w:rPr>
          <w:rFonts w:ascii="Bookman Old Style" w:hAnsi="Bookman Old Style" w:cs="TimesNewRomanPSMT"/>
        </w:rPr>
        <w:t xml:space="preserve"> </w:t>
      </w:r>
      <w:r w:rsidR="00CF25CF" w:rsidRPr="00B9258D">
        <w:rPr>
          <w:rFonts w:ascii="Bookman Old Style" w:hAnsi="Bookman Old Style" w:cs="TimesNewRomanPSMT"/>
        </w:rPr>
        <w:t>i beni demaniali o a qualunque titolo in uso al medesimo Ministero, per installare</w:t>
      </w:r>
      <w:r w:rsidR="00E84518" w:rsidRPr="00B9258D">
        <w:rPr>
          <w:rFonts w:ascii="Bookman Old Style" w:hAnsi="Bookman Old Style" w:cs="TimesNewRomanPSMT"/>
        </w:rPr>
        <w:t xml:space="preserve"> </w:t>
      </w:r>
      <w:r w:rsidR="00CF25CF" w:rsidRPr="00B9258D">
        <w:rPr>
          <w:rFonts w:ascii="Bookman Old Style" w:hAnsi="Bookman Old Style" w:cs="TimesNewRomanPSMT"/>
        </w:rPr>
        <w:t>impianti di produzione di energia da fonti rinnovabili, anche ricorrendo, per la</w:t>
      </w:r>
      <w:r w:rsidR="00A84D2A" w:rsidRPr="00B9258D">
        <w:rPr>
          <w:rFonts w:ascii="Bookman Old Style" w:hAnsi="Bookman Old Style" w:cs="TimesNewRomanPSMT"/>
        </w:rPr>
        <w:t xml:space="preserve"> </w:t>
      </w:r>
      <w:r w:rsidR="00CF25CF" w:rsidRPr="00B9258D">
        <w:rPr>
          <w:rFonts w:ascii="Bookman Old Style" w:hAnsi="Bookman Old Style" w:cs="TimesNewRomanPSMT"/>
        </w:rPr>
        <w:t>copertura degli oneri, alle risorse del Piano Nazionale di Ripresa e Resilienza,</w:t>
      </w:r>
      <w:r w:rsidR="00A84D2A" w:rsidRPr="00B9258D">
        <w:rPr>
          <w:rFonts w:ascii="Bookman Old Style" w:hAnsi="Bookman Old Style" w:cs="TimesNewRomanPSMT"/>
        </w:rPr>
        <w:t xml:space="preserve"> </w:t>
      </w:r>
      <w:r w:rsidR="00CF25CF" w:rsidRPr="00B9258D">
        <w:rPr>
          <w:rFonts w:ascii="Bookman Old Style" w:hAnsi="Bookman Old Style" w:cs="TimesNewRomanPSMT"/>
        </w:rPr>
        <w:t>Missione 2, previo accordo con il Ministero della transizione ecologica</w:t>
      </w:r>
      <w:r w:rsidR="00E84518" w:rsidRPr="00B9258D">
        <w:rPr>
          <w:rFonts w:ascii="Bookman Old Style" w:hAnsi="Bookman Old Style" w:cs="TimesNewRomanPSMT"/>
        </w:rPr>
        <w:t>.</w:t>
      </w:r>
    </w:p>
    <w:p w14:paraId="43359830" w14:textId="7A1C32A4" w:rsidR="00841E4B" w:rsidRPr="00B9258D" w:rsidRDefault="00841E4B" w:rsidP="00841E4B">
      <w:pPr>
        <w:autoSpaceDE w:val="0"/>
        <w:autoSpaceDN w:val="0"/>
        <w:adjustRightInd w:val="0"/>
        <w:spacing w:after="0" w:line="240" w:lineRule="auto"/>
        <w:jc w:val="both"/>
        <w:rPr>
          <w:rFonts w:ascii="Bookman Old Style" w:hAnsi="Bookman Old Style" w:cs="TimesNewRomanPSMT"/>
        </w:rPr>
      </w:pPr>
    </w:p>
    <w:p w14:paraId="3EA53A5A" w14:textId="77777777" w:rsidR="00D37DA4" w:rsidRPr="00801CA4" w:rsidRDefault="00D37DA4" w:rsidP="00841E4B">
      <w:pPr>
        <w:autoSpaceDE w:val="0"/>
        <w:autoSpaceDN w:val="0"/>
        <w:adjustRightInd w:val="0"/>
        <w:spacing w:after="0" w:line="240" w:lineRule="auto"/>
        <w:jc w:val="both"/>
        <w:rPr>
          <w:rFonts w:ascii="Bookman Old Style" w:hAnsi="Bookman Old Style" w:cs="TimesNewRomanPS-BoldItalicMT"/>
          <w:b/>
          <w:bCs/>
          <w:color w:val="FF0000"/>
        </w:rPr>
      </w:pPr>
    </w:p>
    <w:p w14:paraId="1A7EE57C" w14:textId="1909BB12" w:rsidR="00841E4B" w:rsidRPr="00801CA4" w:rsidRDefault="00841E4B" w:rsidP="00635EEB">
      <w:pPr>
        <w:pStyle w:val="Paragrafoelenco"/>
        <w:numPr>
          <w:ilvl w:val="0"/>
          <w:numId w:val="3"/>
        </w:numPr>
        <w:autoSpaceDE w:val="0"/>
        <w:autoSpaceDN w:val="0"/>
        <w:adjustRightInd w:val="0"/>
        <w:spacing w:after="0" w:line="240" w:lineRule="auto"/>
        <w:rPr>
          <w:rFonts w:ascii="Bookman Old Style" w:hAnsi="Bookman Old Style" w:cs="TimesNewRomanPS-BoldItalicMT"/>
          <w:b/>
          <w:bCs/>
          <w:color w:val="FF0000"/>
        </w:rPr>
      </w:pPr>
      <w:r w:rsidRPr="00801CA4">
        <w:rPr>
          <w:rFonts w:ascii="Bookman Old Style" w:hAnsi="Bookman Old Style" w:cs="TimesNewRomanPS-BoldItalicMT"/>
          <w:b/>
          <w:bCs/>
          <w:color w:val="FF0000"/>
        </w:rPr>
        <w:t>Contributo energia e gas per cinema e teatri</w:t>
      </w:r>
      <w:r w:rsidR="00624D93" w:rsidRPr="00801CA4">
        <w:rPr>
          <w:rFonts w:ascii="Bookman Old Style" w:hAnsi="Bookman Old Style" w:cs="TimesNewRomanPS-BoldItalicMT"/>
          <w:b/>
          <w:bCs/>
          <w:color w:val="FF0000"/>
        </w:rPr>
        <w:t xml:space="preserve"> (Art. 11)</w:t>
      </w:r>
    </w:p>
    <w:p w14:paraId="68C0C27E" w14:textId="5F2639A0" w:rsidR="00B37056" w:rsidRDefault="00C96886" w:rsidP="00061779">
      <w:p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cs="TimesNewRomanPSMT"/>
        </w:rPr>
        <w:t xml:space="preserve">Vengono stanziati </w:t>
      </w:r>
      <w:r w:rsidRPr="001533C9">
        <w:rPr>
          <w:rFonts w:ascii="Bookman Old Style" w:hAnsi="Bookman Old Style" w:cs="TimesNewRomanPSMT"/>
          <w:b/>
          <w:bCs/>
        </w:rPr>
        <w:t>40 milioni di euro per l’anno 2022</w:t>
      </w:r>
      <w:r w:rsidRPr="00B9258D">
        <w:rPr>
          <w:rFonts w:ascii="Bookman Old Style" w:hAnsi="Bookman Old Style" w:cs="TimesNewRomanPSMT"/>
        </w:rPr>
        <w:t xml:space="preserve"> p</w:t>
      </w:r>
      <w:r w:rsidR="00061779" w:rsidRPr="00B9258D">
        <w:rPr>
          <w:rFonts w:ascii="Bookman Old Style" w:hAnsi="Bookman Old Style" w:cs="TimesNewRomanPSMT"/>
        </w:rPr>
        <w:t>er</w:t>
      </w:r>
      <w:r w:rsidR="00841E4B" w:rsidRPr="00B9258D">
        <w:rPr>
          <w:rFonts w:ascii="Bookman Old Style" w:hAnsi="Bookman Old Style" w:cs="TimesNewRomanPSMT"/>
        </w:rPr>
        <w:t xml:space="preserve"> mitigare gli effetti dell’aumento dei costi di fornitura di energia elettrica e</w:t>
      </w:r>
      <w:r w:rsidR="00061779" w:rsidRPr="00B9258D">
        <w:rPr>
          <w:rFonts w:ascii="Bookman Old Style" w:hAnsi="Bookman Old Style" w:cs="TimesNewRomanPSMT"/>
        </w:rPr>
        <w:t xml:space="preserve"> </w:t>
      </w:r>
      <w:r w:rsidR="00841E4B" w:rsidRPr="00B9258D">
        <w:rPr>
          <w:rFonts w:ascii="Bookman Old Style" w:hAnsi="Bookman Old Style" w:cs="TimesNewRomanPSMT"/>
        </w:rPr>
        <w:t>di gas sostenuti da sale teatrali, sale da concerto, sale cinematografiche e istituti e</w:t>
      </w:r>
      <w:r w:rsidRPr="00B9258D">
        <w:rPr>
          <w:rFonts w:ascii="Bookman Old Style" w:hAnsi="Bookman Old Style" w:cs="TimesNewRomanPSMT"/>
        </w:rPr>
        <w:t xml:space="preserve"> </w:t>
      </w:r>
      <w:r w:rsidR="00841E4B" w:rsidRPr="00B9258D">
        <w:rPr>
          <w:rFonts w:ascii="Bookman Old Style" w:hAnsi="Bookman Old Style" w:cs="TimesNewRomanPSMT"/>
        </w:rPr>
        <w:t>luoghi della cultura</w:t>
      </w:r>
      <w:r w:rsidR="00B37056" w:rsidRPr="00B9258D">
        <w:rPr>
          <w:rFonts w:ascii="Bookman Old Style" w:hAnsi="Bookman Old Style" w:cs="TimesNewRomanPSMT"/>
        </w:rPr>
        <w:t xml:space="preserve">. </w:t>
      </w:r>
      <w:r w:rsidR="00841E4B" w:rsidRPr="00B9258D">
        <w:rPr>
          <w:rFonts w:ascii="Bookman Old Style" w:hAnsi="Bookman Old Style" w:cs="TimesNewRomanPSMT"/>
        </w:rPr>
        <w:t>Con decreto del</w:t>
      </w:r>
      <w:r w:rsidR="00B37056" w:rsidRPr="00B9258D">
        <w:rPr>
          <w:rFonts w:ascii="Bookman Old Style" w:hAnsi="Bookman Old Style" w:cs="TimesNewRomanPSMT"/>
        </w:rPr>
        <w:t xml:space="preserve"> </w:t>
      </w:r>
      <w:r w:rsidR="00841E4B" w:rsidRPr="00B9258D">
        <w:rPr>
          <w:rFonts w:ascii="Bookman Old Style" w:hAnsi="Bookman Old Style" w:cs="TimesNewRomanPSMT"/>
        </w:rPr>
        <w:t>Ministro della cultura, da adottare entro trenta giorni dalla data di entrata in vigore del</w:t>
      </w:r>
      <w:r w:rsidR="00B37056" w:rsidRPr="00B9258D">
        <w:rPr>
          <w:rFonts w:ascii="Bookman Old Style" w:hAnsi="Bookman Old Style" w:cs="TimesNewRomanPSMT"/>
        </w:rPr>
        <w:t xml:space="preserve"> </w:t>
      </w:r>
      <w:r w:rsidR="00841E4B" w:rsidRPr="00B9258D">
        <w:rPr>
          <w:rFonts w:ascii="Bookman Old Style" w:hAnsi="Bookman Old Style" w:cs="TimesNewRomanPSMT"/>
        </w:rPr>
        <w:t>presente decreto, sono definite le modalità di ripartizione e assegnazione d</w:t>
      </w:r>
      <w:r w:rsidR="00B37056" w:rsidRPr="00B9258D">
        <w:rPr>
          <w:rFonts w:ascii="Bookman Old Style" w:hAnsi="Bookman Old Style" w:cs="TimesNewRomanPSMT"/>
        </w:rPr>
        <w:t>i tali risorse.</w:t>
      </w:r>
    </w:p>
    <w:p w14:paraId="587DA52C" w14:textId="67367CAC" w:rsidR="00F01630" w:rsidRDefault="00F01630" w:rsidP="00061779">
      <w:pPr>
        <w:autoSpaceDE w:val="0"/>
        <w:autoSpaceDN w:val="0"/>
        <w:adjustRightInd w:val="0"/>
        <w:spacing w:after="0" w:line="240" w:lineRule="auto"/>
        <w:jc w:val="both"/>
        <w:rPr>
          <w:rFonts w:ascii="Bookman Old Style" w:hAnsi="Bookman Old Style" w:cs="TimesNewRomanPSMT"/>
        </w:rPr>
      </w:pPr>
    </w:p>
    <w:p w14:paraId="3059BDB5" w14:textId="7AE889D7" w:rsidR="00F01630" w:rsidRDefault="00F01630" w:rsidP="00061779">
      <w:pPr>
        <w:autoSpaceDE w:val="0"/>
        <w:autoSpaceDN w:val="0"/>
        <w:adjustRightInd w:val="0"/>
        <w:spacing w:after="0" w:line="240" w:lineRule="auto"/>
        <w:jc w:val="both"/>
        <w:rPr>
          <w:rFonts w:ascii="Bookman Old Style" w:hAnsi="Bookman Old Style" w:cs="TimesNewRomanPSMT"/>
        </w:rPr>
      </w:pPr>
    </w:p>
    <w:p w14:paraId="45FCE422" w14:textId="11C8BCE7" w:rsidR="00693249" w:rsidRDefault="00693249" w:rsidP="00061779">
      <w:pPr>
        <w:autoSpaceDE w:val="0"/>
        <w:autoSpaceDN w:val="0"/>
        <w:adjustRightInd w:val="0"/>
        <w:spacing w:after="0" w:line="240" w:lineRule="auto"/>
        <w:jc w:val="both"/>
        <w:rPr>
          <w:rFonts w:ascii="Bookman Old Style" w:hAnsi="Bookman Old Style" w:cs="TimesNewRomanPSMT"/>
        </w:rPr>
      </w:pPr>
    </w:p>
    <w:p w14:paraId="5D03A782" w14:textId="77777777" w:rsidR="00693249" w:rsidRDefault="00693249" w:rsidP="00061779">
      <w:pPr>
        <w:autoSpaceDE w:val="0"/>
        <w:autoSpaceDN w:val="0"/>
        <w:adjustRightInd w:val="0"/>
        <w:spacing w:after="0" w:line="240" w:lineRule="auto"/>
        <w:jc w:val="both"/>
        <w:rPr>
          <w:rFonts w:ascii="Bookman Old Style" w:hAnsi="Bookman Old Style" w:cs="TimesNewRomanPSMT"/>
        </w:rPr>
      </w:pPr>
    </w:p>
    <w:p w14:paraId="1FE705D9" w14:textId="48307AA9" w:rsidR="00F01630" w:rsidRPr="004148AC" w:rsidRDefault="00F01630" w:rsidP="007A7FBD">
      <w:pPr>
        <w:pStyle w:val="Paragrafoelenco"/>
        <w:numPr>
          <w:ilvl w:val="0"/>
          <w:numId w:val="3"/>
        </w:numPr>
        <w:autoSpaceDE w:val="0"/>
        <w:autoSpaceDN w:val="0"/>
        <w:adjustRightInd w:val="0"/>
        <w:spacing w:after="0" w:line="240" w:lineRule="auto"/>
        <w:jc w:val="both"/>
        <w:rPr>
          <w:rFonts w:ascii="Bookman Old Style" w:hAnsi="Bookman Old Style"/>
          <w:i/>
          <w:iCs/>
          <w:color w:val="FF0000"/>
        </w:rPr>
      </w:pPr>
      <w:r w:rsidRPr="004148AC">
        <w:rPr>
          <w:rFonts w:ascii="Bookman Old Style" w:hAnsi="Bookman Old Style" w:cs="TimesNewRomanPS-BoldItalicMT"/>
          <w:b/>
          <w:bCs/>
          <w:color w:val="FF0000"/>
        </w:rPr>
        <w:lastRenderedPageBreak/>
        <w:t>Disposizioni per la gestione dell’emergenza energetica delle scuole paritarie (Art. 13)</w:t>
      </w:r>
    </w:p>
    <w:p w14:paraId="7CD80EA0" w14:textId="77777777" w:rsidR="00F01630" w:rsidRPr="00F01630" w:rsidRDefault="00F01630" w:rsidP="00F01630">
      <w:pPr>
        <w:autoSpaceDE w:val="0"/>
        <w:autoSpaceDN w:val="0"/>
        <w:adjustRightInd w:val="0"/>
        <w:spacing w:after="0" w:line="240" w:lineRule="auto"/>
        <w:jc w:val="both"/>
        <w:rPr>
          <w:rFonts w:ascii="Bookman Old Style" w:hAnsi="Bookman Old Style" w:cs="TimesNewRomanPSMT"/>
        </w:rPr>
      </w:pPr>
      <w:r w:rsidRPr="00F01630">
        <w:rPr>
          <w:rFonts w:ascii="Bookman Old Style" w:hAnsi="Bookman Old Style" w:cs="TimesNewRomanPSMT"/>
        </w:rPr>
        <w:t xml:space="preserve">Viene incrementato di </w:t>
      </w:r>
      <w:r w:rsidRPr="001533C9">
        <w:rPr>
          <w:rFonts w:ascii="Bookman Old Style" w:hAnsi="Bookman Old Style" w:cs="TimesNewRomanPSMT"/>
          <w:b/>
          <w:bCs/>
        </w:rPr>
        <w:t>30 milioni di euro per l’anno 2022</w:t>
      </w:r>
      <w:r w:rsidRPr="00F01630">
        <w:rPr>
          <w:rFonts w:ascii="Bookman Old Style" w:hAnsi="Bookman Old Style" w:cs="TimesNewRomanPSMT"/>
        </w:rPr>
        <w:t xml:space="preserve"> il contributo, di cui all’art. 1, comma 13 della Legge 62/2000 per le scuole paritarie per fronteggiare le maggiori esigenze connesse al fabbisogno energetico derivanti dall’eccezionale incremento del costo dell’energia.</w:t>
      </w:r>
    </w:p>
    <w:p w14:paraId="213317AE" w14:textId="77777777" w:rsidR="00F01630" w:rsidRPr="00B9258D" w:rsidRDefault="00F01630" w:rsidP="00061779">
      <w:pPr>
        <w:autoSpaceDE w:val="0"/>
        <w:autoSpaceDN w:val="0"/>
        <w:adjustRightInd w:val="0"/>
        <w:spacing w:after="0" w:line="240" w:lineRule="auto"/>
        <w:jc w:val="both"/>
        <w:rPr>
          <w:rFonts w:ascii="Bookman Old Style" w:hAnsi="Bookman Old Style" w:cs="TimesNewRomanPSMT"/>
        </w:rPr>
      </w:pPr>
    </w:p>
    <w:p w14:paraId="25BF25A0" w14:textId="77777777" w:rsidR="00D37DA4" w:rsidRPr="00B9258D" w:rsidRDefault="00D37DA4" w:rsidP="00061779">
      <w:pPr>
        <w:autoSpaceDE w:val="0"/>
        <w:autoSpaceDN w:val="0"/>
        <w:adjustRightInd w:val="0"/>
        <w:spacing w:after="0" w:line="240" w:lineRule="auto"/>
        <w:jc w:val="both"/>
        <w:rPr>
          <w:rFonts w:ascii="Bookman Old Style" w:hAnsi="Bookman Old Style" w:cs="TimesNewRomanPSMT"/>
        </w:rPr>
      </w:pPr>
    </w:p>
    <w:p w14:paraId="3D6CFD3C" w14:textId="71821EB7" w:rsidR="007B6548" w:rsidRPr="004148AC" w:rsidRDefault="00B70822" w:rsidP="00F436E7">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4148AC">
        <w:rPr>
          <w:rFonts w:ascii="Bookman Old Style" w:hAnsi="Bookman Old Style" w:cs="TimesNewRomanPS-BoldItalicMT"/>
          <w:b/>
          <w:bCs/>
          <w:color w:val="FF0000"/>
        </w:rPr>
        <w:t>Procedure autorizzatorie per l’economia circolare e rafforzamento delle attività di vigilanza e controllo dei sistemi di gestione dei rifiuti, degli imballaggi e dei rifiuti di imballaggio</w:t>
      </w:r>
      <w:r w:rsidR="00DB461B" w:rsidRPr="004148AC">
        <w:rPr>
          <w:rFonts w:ascii="Bookman Old Style" w:hAnsi="Bookman Old Style" w:cs="TimesNewRomanPS-BoldItalicMT"/>
          <w:b/>
          <w:bCs/>
          <w:color w:val="FF0000"/>
        </w:rPr>
        <w:t xml:space="preserve"> (Art. 22)</w:t>
      </w:r>
    </w:p>
    <w:p w14:paraId="3A128D35" w14:textId="65C58018" w:rsidR="00861512" w:rsidRPr="0036670E" w:rsidRDefault="00532D74" w:rsidP="00532D74">
      <w:pPr>
        <w:autoSpaceDE w:val="0"/>
        <w:autoSpaceDN w:val="0"/>
        <w:adjustRightInd w:val="0"/>
        <w:spacing w:after="0" w:line="240" w:lineRule="auto"/>
        <w:jc w:val="both"/>
        <w:rPr>
          <w:rFonts w:ascii="Bookman Old Style" w:hAnsi="Bookman Old Style" w:cs="TimesNewRomanPSMT"/>
          <w:b/>
          <w:bCs/>
        </w:rPr>
      </w:pPr>
      <w:r w:rsidRPr="00B9258D">
        <w:rPr>
          <w:rFonts w:ascii="Bookman Old Style" w:hAnsi="Bookman Old Style" w:cs="TimesNewRomanPSMT"/>
        </w:rPr>
        <w:t xml:space="preserve">Si stabilisce che </w:t>
      </w:r>
      <w:r w:rsidRPr="00B9258D">
        <w:rPr>
          <w:rFonts w:ascii="Bookman Old Style" w:hAnsi="Bookman Old Style" w:cs="TimesNewRomanPSMT"/>
          <w:b/>
          <w:bCs/>
        </w:rPr>
        <w:t>l</w:t>
      </w:r>
      <w:r w:rsidR="00E63F42" w:rsidRPr="00B9258D">
        <w:rPr>
          <w:rFonts w:ascii="Bookman Old Style" w:hAnsi="Bookman Old Style" w:cs="TimesNewRomanPSMT"/>
          <w:b/>
          <w:bCs/>
        </w:rPr>
        <w:t>e opere, gli impianti e le infrastrutture necessari ai fabbisogni impiantistici</w:t>
      </w:r>
      <w:r w:rsidR="00A43D68" w:rsidRPr="00B9258D">
        <w:rPr>
          <w:rFonts w:ascii="Bookman Old Style" w:hAnsi="Bookman Old Style" w:cs="TimesNewRomanPSMT"/>
        </w:rPr>
        <w:t xml:space="preserve"> </w:t>
      </w:r>
      <w:r w:rsidR="00E63F42" w:rsidRPr="00B9258D">
        <w:rPr>
          <w:rFonts w:ascii="Bookman Old Style" w:hAnsi="Bookman Old Style" w:cs="TimesNewRomanPSMT"/>
          <w:b/>
          <w:bCs/>
        </w:rPr>
        <w:t xml:space="preserve">individuati dal Programma nazionale per la gestione dei rifiuti </w:t>
      </w:r>
      <w:r w:rsidR="00087E31" w:rsidRPr="00B9258D">
        <w:rPr>
          <w:rFonts w:ascii="Bookman Old Style" w:hAnsi="Bookman Old Style" w:cs="TimesNewRomanPSMT"/>
          <w:b/>
          <w:bCs/>
        </w:rPr>
        <w:t>di cui all’art. 198 bis del Codice dell’Ambiente</w:t>
      </w:r>
      <w:r w:rsidR="00D71E30" w:rsidRPr="00B9258D">
        <w:rPr>
          <w:rFonts w:ascii="Bookman Old Style" w:hAnsi="Bookman Old Style" w:cs="TimesNewRomanPSMT"/>
          <w:b/>
          <w:bCs/>
        </w:rPr>
        <w:t xml:space="preserve"> </w:t>
      </w:r>
      <w:r w:rsidR="00E63F42" w:rsidRPr="0036670E">
        <w:rPr>
          <w:rFonts w:ascii="Bookman Old Style" w:hAnsi="Bookman Old Style" w:cs="TimesNewRomanPSMT"/>
          <w:b/>
          <w:bCs/>
        </w:rPr>
        <w:t>costituiscono interventi di</w:t>
      </w:r>
      <w:r w:rsidRPr="0036670E">
        <w:rPr>
          <w:rFonts w:ascii="Bookman Old Style" w:hAnsi="Bookman Old Style" w:cs="TimesNewRomanPSMT"/>
          <w:b/>
          <w:bCs/>
        </w:rPr>
        <w:t xml:space="preserve"> </w:t>
      </w:r>
      <w:r w:rsidR="00E63F42" w:rsidRPr="0036670E">
        <w:rPr>
          <w:rFonts w:ascii="Bookman Old Style" w:hAnsi="Bookman Old Style" w:cs="TimesNewRomanPSMT"/>
          <w:b/>
          <w:bCs/>
        </w:rPr>
        <w:t>pubblica utilità, indifferibili e urgenti</w:t>
      </w:r>
      <w:r w:rsidRPr="0036670E">
        <w:rPr>
          <w:rFonts w:ascii="Bookman Old Style" w:hAnsi="Bookman Old Style" w:cs="TimesNewRomanPSMT"/>
          <w:b/>
          <w:bCs/>
        </w:rPr>
        <w:t>.</w:t>
      </w:r>
    </w:p>
    <w:p w14:paraId="06ABCFE9" w14:textId="3571D7AB" w:rsidR="00861512" w:rsidRPr="00794C22" w:rsidRDefault="00861512" w:rsidP="00CD6479">
      <w:p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cs="TimesNewRomanPSMT"/>
        </w:rPr>
        <w:t xml:space="preserve">Nei procedimenti autorizzativi </w:t>
      </w:r>
      <w:r w:rsidRPr="00B9258D">
        <w:rPr>
          <w:rFonts w:ascii="Bookman Old Style" w:hAnsi="Bookman Old Style" w:cs="TimesNewRomanPSMT"/>
          <w:u w:val="single"/>
        </w:rPr>
        <w:t>non di competenza statale</w:t>
      </w:r>
      <w:r w:rsidRPr="00B9258D">
        <w:rPr>
          <w:rFonts w:ascii="Bookman Old Style" w:hAnsi="Bookman Old Style" w:cs="TimesNewRomanPSMT"/>
        </w:rPr>
        <w:t xml:space="preserve"> relativi a opere, impianti e</w:t>
      </w:r>
      <w:r w:rsidR="00CD6479" w:rsidRPr="00B9258D">
        <w:rPr>
          <w:rFonts w:ascii="Bookman Old Style" w:hAnsi="Bookman Old Style" w:cs="TimesNewRomanPSMT"/>
        </w:rPr>
        <w:t xml:space="preserve"> </w:t>
      </w:r>
      <w:r w:rsidRPr="00B9258D">
        <w:rPr>
          <w:rFonts w:ascii="Bookman Old Style" w:hAnsi="Bookman Old Style" w:cs="TimesNewRomanPSMT"/>
        </w:rPr>
        <w:t>infrastrutture necessari ai fabbisogni impiantistici individuati dal Programma</w:t>
      </w:r>
      <w:r w:rsidR="00CD6479" w:rsidRPr="00B9258D">
        <w:rPr>
          <w:rFonts w:ascii="Bookman Old Style" w:hAnsi="Bookman Old Style" w:cs="TimesNewRomanPSMT"/>
        </w:rPr>
        <w:t xml:space="preserve"> </w:t>
      </w:r>
      <w:r w:rsidRPr="00B9258D">
        <w:rPr>
          <w:rFonts w:ascii="Bookman Old Style" w:hAnsi="Bookman Old Style" w:cs="TimesNewRomanPSMT"/>
        </w:rPr>
        <w:t>nazionale per la gestione dei rifiuti</w:t>
      </w:r>
      <w:r w:rsidR="00A13F69">
        <w:rPr>
          <w:rFonts w:ascii="Bookman Old Style" w:hAnsi="Bookman Old Style" w:cs="TimesNewRomanPSMT"/>
        </w:rPr>
        <w:t xml:space="preserve"> previsti dal Codice Ambiente </w:t>
      </w:r>
      <w:r w:rsidRPr="00B9258D">
        <w:rPr>
          <w:rFonts w:ascii="Bookman Old Style" w:hAnsi="Bookman Old Style" w:cs="TimesNewRomanPSMT"/>
        </w:rPr>
        <w:t xml:space="preserve"> e dal P</w:t>
      </w:r>
      <w:r w:rsidR="00394FEE" w:rsidRPr="00B9258D">
        <w:rPr>
          <w:rFonts w:ascii="Bookman Old Style" w:hAnsi="Bookman Old Style" w:cs="TimesNewRomanPSMT"/>
        </w:rPr>
        <w:t>NRR</w:t>
      </w:r>
      <w:r w:rsidRPr="00B9258D">
        <w:rPr>
          <w:rFonts w:ascii="Bookman Old Style" w:hAnsi="Bookman Old Style" w:cs="TimesNewRomanPSMT"/>
        </w:rPr>
        <w:t>, ove l’autorità</w:t>
      </w:r>
      <w:r w:rsidR="00BB6988" w:rsidRPr="00B9258D">
        <w:rPr>
          <w:rFonts w:ascii="Bookman Old Style" w:hAnsi="Bookman Old Style" w:cs="TimesNewRomanPSMT"/>
        </w:rPr>
        <w:t xml:space="preserve"> </w:t>
      </w:r>
      <w:r w:rsidRPr="00B9258D">
        <w:rPr>
          <w:rFonts w:ascii="Bookman Old Style" w:hAnsi="Bookman Old Style" w:cs="TimesNewRomanPSMT"/>
        </w:rPr>
        <w:t xml:space="preserve">competente non provveda sulla domanda di autorizzazione </w:t>
      </w:r>
      <w:r w:rsidRPr="009C6770">
        <w:rPr>
          <w:rFonts w:ascii="Bookman Old Style" w:hAnsi="Bookman Old Style" w:cs="TimesNewRomanPSMT"/>
        </w:rPr>
        <w:t>entro i termini previsti</w:t>
      </w:r>
      <w:r w:rsidR="00CD6479" w:rsidRPr="009C6770">
        <w:rPr>
          <w:rFonts w:ascii="Bookman Old Style" w:hAnsi="Bookman Old Style" w:cs="TimesNewRomanPSMT"/>
        </w:rPr>
        <w:t xml:space="preserve"> </w:t>
      </w:r>
      <w:r w:rsidRPr="009C6770">
        <w:rPr>
          <w:rFonts w:ascii="Bookman Old Style" w:hAnsi="Bookman Old Style" w:cs="TimesNewRomanPSMT"/>
        </w:rPr>
        <w:t>dalla legislazione vigente</w:t>
      </w:r>
      <w:r w:rsidR="009C6770">
        <w:rPr>
          <w:rFonts w:ascii="Bookman Old Style" w:hAnsi="Bookman Old Style" w:cs="TimesNewRomanPSMT"/>
        </w:rPr>
        <w:t xml:space="preserve">, </w:t>
      </w:r>
      <w:r w:rsidRPr="009C6770">
        <w:rPr>
          <w:rFonts w:ascii="Bookman Old Style" w:hAnsi="Bookman Old Style" w:cs="TimesNewRomanPSMT"/>
        </w:rPr>
        <w:t>il Presidente del Consiglio dei ministri, su proposta del</w:t>
      </w:r>
      <w:r w:rsidR="00CD6479" w:rsidRPr="009C6770">
        <w:rPr>
          <w:rFonts w:ascii="Bookman Old Style" w:hAnsi="Bookman Old Style" w:cs="TimesNewRomanPSMT"/>
        </w:rPr>
        <w:t xml:space="preserve"> </w:t>
      </w:r>
      <w:r w:rsidRPr="009C6770">
        <w:rPr>
          <w:rFonts w:ascii="Bookman Old Style" w:hAnsi="Bookman Old Style" w:cs="TimesNewRomanPSMT"/>
        </w:rPr>
        <w:t>Ministro della transizione ecologica, assegna all’autorità med</w:t>
      </w:r>
      <w:r w:rsidRPr="00794C22">
        <w:rPr>
          <w:rFonts w:ascii="Bookman Old Style" w:hAnsi="Bookman Old Style" w:cs="TimesNewRomanPSMT"/>
        </w:rPr>
        <w:t xml:space="preserve">esima un </w:t>
      </w:r>
      <w:r w:rsidRPr="00794C22">
        <w:rPr>
          <w:rFonts w:ascii="Bookman Old Style" w:hAnsi="Bookman Old Style" w:cs="TimesNewRomanPSMT"/>
          <w:u w:val="single"/>
        </w:rPr>
        <w:t>termine non</w:t>
      </w:r>
      <w:r w:rsidR="00CD6479" w:rsidRPr="00794C22">
        <w:rPr>
          <w:rFonts w:ascii="Bookman Old Style" w:hAnsi="Bookman Old Style" w:cs="TimesNewRomanPSMT"/>
          <w:u w:val="single"/>
        </w:rPr>
        <w:t xml:space="preserve"> </w:t>
      </w:r>
      <w:r w:rsidRPr="00794C22">
        <w:rPr>
          <w:rFonts w:ascii="Bookman Old Style" w:hAnsi="Bookman Old Style" w:cs="TimesNewRomanPSMT"/>
          <w:u w:val="single"/>
        </w:rPr>
        <w:t>superiore a quindici giorni per provvedere</w:t>
      </w:r>
      <w:r w:rsidRPr="00794C22">
        <w:rPr>
          <w:rFonts w:ascii="Bookman Old Style" w:hAnsi="Bookman Old Style" w:cs="TimesNewRomanPSMT"/>
        </w:rPr>
        <w:t>. In caso di perdurante inerzia</w:t>
      </w:r>
      <w:r w:rsidR="00394FEE" w:rsidRPr="00794C22">
        <w:rPr>
          <w:rFonts w:ascii="Bookman Old Style" w:hAnsi="Bookman Old Style" w:cs="TimesNewRomanPSMT"/>
        </w:rPr>
        <w:t xml:space="preserve"> </w:t>
      </w:r>
      <w:r w:rsidRPr="00794C22">
        <w:rPr>
          <w:rFonts w:ascii="Bookman Old Style" w:hAnsi="Bookman Old Style" w:cs="TimesNewRomanPSMT"/>
        </w:rPr>
        <w:t xml:space="preserve">il Consiglio dei ministri nomina un commissario </w:t>
      </w:r>
      <w:r w:rsidRPr="00794C22">
        <w:rPr>
          <w:rFonts w:ascii="Bookman Old Style" w:hAnsi="Bookman Old Style" w:cs="TimesNewRomanPS-ItalicMT"/>
          <w:i/>
          <w:iCs/>
        </w:rPr>
        <w:t>ad</w:t>
      </w:r>
      <w:r w:rsidR="0087427A" w:rsidRPr="00794C22">
        <w:rPr>
          <w:rFonts w:ascii="Bookman Old Style" w:hAnsi="Bookman Old Style" w:cs="TimesNewRomanPS-ItalicMT"/>
          <w:i/>
          <w:iCs/>
        </w:rPr>
        <w:t xml:space="preserve"> </w:t>
      </w:r>
      <w:r w:rsidRPr="00794C22">
        <w:rPr>
          <w:rFonts w:ascii="Bookman Old Style" w:hAnsi="Bookman Old Style" w:cs="TimesNewRomanPS-ItalicMT"/>
          <w:i/>
          <w:iCs/>
        </w:rPr>
        <w:t>acta</w:t>
      </w:r>
      <w:r w:rsidR="00CA552C" w:rsidRPr="00794C22">
        <w:rPr>
          <w:rFonts w:ascii="Bookman Old Style" w:hAnsi="Bookman Old Style"/>
          <w:sz w:val="26"/>
          <w:szCs w:val="26"/>
        </w:rPr>
        <w:t xml:space="preserve"> </w:t>
      </w:r>
      <w:r w:rsidR="00CA552C" w:rsidRPr="00794C22">
        <w:rPr>
          <w:rFonts w:ascii="Bookman Old Style" w:hAnsi="Bookman Old Style"/>
          <w:u w:val="single"/>
        </w:rPr>
        <w:t xml:space="preserve">anche avvalendosi di società </w:t>
      </w:r>
      <w:r w:rsidR="00C95313" w:rsidRPr="00794C22">
        <w:rPr>
          <w:rFonts w:ascii="Bookman Old Style" w:hAnsi="Bookman Old Style"/>
          <w:u w:val="single"/>
        </w:rPr>
        <w:t>pubbliche</w:t>
      </w:r>
      <w:r w:rsidR="00C95313" w:rsidRPr="00794C22">
        <w:rPr>
          <w:rFonts w:ascii="Bookman Old Style" w:hAnsi="Bookman Old Style"/>
        </w:rPr>
        <w:t xml:space="preserve"> </w:t>
      </w:r>
      <w:r w:rsidR="009D0074" w:rsidRPr="00794C22">
        <w:rPr>
          <w:rFonts w:ascii="Bookman Old Style" w:hAnsi="Bookman Old Style"/>
        </w:rPr>
        <w:t>(</w:t>
      </w:r>
      <w:r w:rsidR="00CA552C" w:rsidRPr="00794C22">
        <w:rPr>
          <w:rFonts w:ascii="Bookman Old Style" w:hAnsi="Bookman Old Style"/>
        </w:rPr>
        <w:t>di cui all’art</w:t>
      </w:r>
      <w:r w:rsidR="009D0074" w:rsidRPr="00794C22">
        <w:rPr>
          <w:rFonts w:ascii="Bookman Old Style" w:hAnsi="Bookman Old Style"/>
        </w:rPr>
        <w:t>.</w:t>
      </w:r>
      <w:r w:rsidR="00CA552C" w:rsidRPr="00794C22">
        <w:rPr>
          <w:rFonts w:ascii="Bookman Old Style" w:hAnsi="Bookman Old Style"/>
        </w:rPr>
        <w:t xml:space="preserve"> 2 del </w:t>
      </w:r>
      <w:proofErr w:type="spellStart"/>
      <w:r w:rsidR="00CA552C" w:rsidRPr="00794C22">
        <w:rPr>
          <w:rFonts w:ascii="Bookman Old Style" w:hAnsi="Bookman Old Style"/>
        </w:rPr>
        <w:t>d</w:t>
      </w:r>
      <w:r w:rsidR="009D0074" w:rsidRPr="00794C22">
        <w:rPr>
          <w:rFonts w:ascii="Bookman Old Style" w:hAnsi="Bookman Old Style"/>
        </w:rPr>
        <w:t>lgs</w:t>
      </w:r>
      <w:proofErr w:type="spellEnd"/>
      <w:r w:rsidR="009D0074" w:rsidRPr="00794C22">
        <w:rPr>
          <w:rFonts w:ascii="Bookman Old Style" w:hAnsi="Bookman Old Style"/>
        </w:rPr>
        <w:t xml:space="preserve"> 175/2016)</w:t>
      </w:r>
      <w:r w:rsidR="00CA552C" w:rsidRPr="00794C22">
        <w:rPr>
          <w:rFonts w:ascii="Bookman Old Style" w:hAnsi="Bookman Old Style"/>
        </w:rPr>
        <w:t xml:space="preserve"> o di altre amministrazioni specificamente indicate, senza nuovi o maggiori oneri a carico della finanza pubblica</w:t>
      </w:r>
    </w:p>
    <w:p w14:paraId="729991BF" w14:textId="0879366A" w:rsidR="00BB6988" w:rsidRPr="00794C22" w:rsidRDefault="00BB6988" w:rsidP="00861512">
      <w:pPr>
        <w:autoSpaceDE w:val="0"/>
        <w:autoSpaceDN w:val="0"/>
        <w:adjustRightInd w:val="0"/>
        <w:spacing w:after="0" w:line="240" w:lineRule="auto"/>
        <w:jc w:val="center"/>
        <w:rPr>
          <w:rFonts w:ascii="Bookman Old Style" w:hAnsi="Bookman Old Style" w:cs="TimesNewRomanPSMT"/>
        </w:rPr>
      </w:pPr>
    </w:p>
    <w:p w14:paraId="204C097D" w14:textId="628E8F8E" w:rsidR="00BB6988" w:rsidRPr="007539C8" w:rsidRDefault="009A58F2" w:rsidP="00DD1549">
      <w:pPr>
        <w:autoSpaceDE w:val="0"/>
        <w:autoSpaceDN w:val="0"/>
        <w:adjustRightInd w:val="0"/>
        <w:spacing w:after="0" w:line="240" w:lineRule="auto"/>
        <w:jc w:val="both"/>
        <w:rPr>
          <w:rFonts w:ascii="Bookman Old Style" w:hAnsi="Bookman Old Style" w:cs="TimesNewRomanPSMT"/>
        </w:rPr>
      </w:pPr>
      <w:r w:rsidRPr="00794C22">
        <w:rPr>
          <w:rFonts w:ascii="Bookman Old Style" w:hAnsi="Bookman Old Style" w:cs="TimesNewRomanPSMT"/>
        </w:rPr>
        <w:t>Per</w:t>
      </w:r>
      <w:r w:rsidR="00BB6988" w:rsidRPr="00794C22">
        <w:rPr>
          <w:rFonts w:ascii="Bookman Old Style" w:hAnsi="Bookman Old Style" w:cs="TimesNewRomanPSMT"/>
        </w:rPr>
        <w:t xml:space="preserve"> rafforzare le attività di vigilanza e di controllo del funzionamento e</w:t>
      </w:r>
      <w:r w:rsidR="00596AB4" w:rsidRPr="00794C22">
        <w:rPr>
          <w:rFonts w:ascii="Bookman Old Style" w:hAnsi="Bookman Old Style" w:cs="TimesNewRomanPSMT"/>
        </w:rPr>
        <w:t xml:space="preserve"> </w:t>
      </w:r>
      <w:r w:rsidR="00BB6988" w:rsidRPr="00794C22">
        <w:rPr>
          <w:rFonts w:ascii="Bookman Old Style" w:hAnsi="Bookman Old Style" w:cs="TimesNewRomanPSMT"/>
        </w:rPr>
        <w:t xml:space="preserve">dell’efficacia dei </w:t>
      </w:r>
      <w:r w:rsidR="00BB6988" w:rsidRPr="007539C8">
        <w:rPr>
          <w:rFonts w:ascii="Bookman Old Style" w:hAnsi="Bookman Old Style" w:cs="TimesNewRomanPSMT"/>
        </w:rPr>
        <w:t>sistemi consortili e autonomi di gestione dei rifiuti, degli imballaggi</w:t>
      </w:r>
      <w:r w:rsidR="008C766F" w:rsidRPr="007539C8">
        <w:rPr>
          <w:rFonts w:ascii="Bookman Old Style" w:hAnsi="Bookman Old Style" w:cs="TimesNewRomanPSMT"/>
        </w:rPr>
        <w:t xml:space="preserve"> </w:t>
      </w:r>
      <w:r w:rsidR="00BB6988" w:rsidRPr="007539C8">
        <w:rPr>
          <w:rFonts w:ascii="Bookman Old Style" w:hAnsi="Bookman Old Style" w:cs="TimesNewRomanPSMT"/>
        </w:rPr>
        <w:t xml:space="preserve">e dei rifiuti di imballaggio, è </w:t>
      </w:r>
      <w:r w:rsidR="00BB6988" w:rsidRPr="007539C8">
        <w:rPr>
          <w:rFonts w:ascii="Bookman Old Style" w:hAnsi="Bookman Old Style" w:cs="TimesNewRomanPSMT"/>
          <w:b/>
          <w:bCs/>
        </w:rPr>
        <w:t>istituito presso il M</w:t>
      </w:r>
      <w:r w:rsidR="008C766F" w:rsidRPr="007539C8">
        <w:rPr>
          <w:rFonts w:ascii="Bookman Old Style" w:hAnsi="Bookman Old Style" w:cs="TimesNewRomanPSMT"/>
          <w:b/>
          <w:bCs/>
        </w:rPr>
        <w:t>ITE</w:t>
      </w:r>
      <w:r w:rsidR="00F84586" w:rsidRPr="007539C8">
        <w:rPr>
          <w:rFonts w:ascii="Bookman Old Style" w:hAnsi="Bookman Old Style" w:cs="TimesNewRomanPSMT"/>
          <w:b/>
          <w:bCs/>
        </w:rPr>
        <w:t xml:space="preserve"> </w:t>
      </w:r>
      <w:r w:rsidR="00BB6988" w:rsidRPr="007539C8">
        <w:rPr>
          <w:rFonts w:ascii="Bookman Old Style" w:hAnsi="Bookman Old Style" w:cs="TimesNewRomanPSMT"/>
          <w:b/>
          <w:bCs/>
        </w:rPr>
        <w:t>l’Organismo di vigilanza dei consorzi e dei sistemi</w:t>
      </w:r>
      <w:r w:rsidR="007539C8">
        <w:rPr>
          <w:rFonts w:ascii="Bookman Old Style" w:hAnsi="Bookman Old Style" w:cs="TimesNewRomanPSMT"/>
          <w:b/>
          <w:bCs/>
        </w:rPr>
        <w:t xml:space="preserve"> </w:t>
      </w:r>
      <w:r w:rsidR="00BB6988" w:rsidRPr="007539C8">
        <w:rPr>
          <w:rFonts w:ascii="Bookman Old Style" w:hAnsi="Bookman Old Style" w:cs="TimesNewRomanPSMT"/>
          <w:b/>
          <w:bCs/>
        </w:rPr>
        <w:t>autonomi per la gestione dei rifiuti, degli imballaggi e dei rifiuti di imballaggi</w:t>
      </w:r>
      <w:r w:rsidR="00BB6988" w:rsidRPr="007539C8">
        <w:rPr>
          <w:rFonts w:ascii="Bookman Old Style" w:hAnsi="Bookman Old Style" w:cs="TimesNewRomanPSMT"/>
        </w:rPr>
        <w:t>.</w:t>
      </w:r>
    </w:p>
    <w:p w14:paraId="796143C4" w14:textId="36EC9899" w:rsidR="00BB6988" w:rsidRPr="007539C8" w:rsidRDefault="00BB6988" w:rsidP="00DD1549">
      <w:pPr>
        <w:autoSpaceDE w:val="0"/>
        <w:autoSpaceDN w:val="0"/>
        <w:adjustRightInd w:val="0"/>
        <w:spacing w:after="0" w:line="240" w:lineRule="auto"/>
        <w:jc w:val="both"/>
        <w:rPr>
          <w:rFonts w:ascii="Bookman Old Style" w:hAnsi="Bookman Old Style" w:cs="TimesNewRomanPSMT"/>
        </w:rPr>
      </w:pPr>
      <w:r w:rsidRPr="007539C8">
        <w:rPr>
          <w:rFonts w:ascii="Bookman Old Style" w:hAnsi="Bookman Old Style" w:cs="TimesNewRomanPSMT"/>
        </w:rPr>
        <w:t>L’Organismo è composto da due rappresentanti del M</w:t>
      </w:r>
      <w:r w:rsidR="00F84586" w:rsidRPr="007539C8">
        <w:rPr>
          <w:rFonts w:ascii="Bookman Old Style" w:hAnsi="Bookman Old Style" w:cs="TimesNewRomanPSMT"/>
        </w:rPr>
        <w:t>ITE</w:t>
      </w:r>
      <w:r w:rsidRPr="007539C8">
        <w:rPr>
          <w:rFonts w:ascii="Bookman Old Style" w:hAnsi="Bookman Old Style" w:cs="TimesNewRomanPSMT"/>
        </w:rPr>
        <w:t>, di cui uno con funzioni di Presidente, due rappresentanti del</w:t>
      </w:r>
      <w:r w:rsidR="0073177E" w:rsidRPr="007539C8">
        <w:rPr>
          <w:rFonts w:ascii="Bookman Old Style" w:hAnsi="Bookman Old Style" w:cs="TimesNewRomanPSMT"/>
        </w:rPr>
        <w:t xml:space="preserve"> </w:t>
      </w:r>
      <w:r w:rsidRPr="007539C8">
        <w:rPr>
          <w:rFonts w:ascii="Bookman Old Style" w:hAnsi="Bookman Old Style" w:cs="TimesNewRomanPSMT"/>
        </w:rPr>
        <w:t>M</w:t>
      </w:r>
      <w:r w:rsidR="0073177E" w:rsidRPr="007539C8">
        <w:rPr>
          <w:rFonts w:ascii="Bookman Old Style" w:hAnsi="Bookman Old Style" w:cs="TimesNewRomanPSMT"/>
        </w:rPr>
        <w:t>ISE</w:t>
      </w:r>
      <w:r w:rsidRPr="007539C8">
        <w:rPr>
          <w:rFonts w:ascii="Bookman Old Style" w:hAnsi="Bookman Old Style" w:cs="TimesNewRomanPSMT"/>
        </w:rPr>
        <w:t>, un rappresentante dell’A</w:t>
      </w:r>
      <w:r w:rsidR="00AD14AD" w:rsidRPr="007539C8">
        <w:rPr>
          <w:rFonts w:ascii="Bookman Old Style" w:hAnsi="Bookman Old Style" w:cs="TimesNewRomanPSMT"/>
        </w:rPr>
        <w:t>GCM</w:t>
      </w:r>
      <w:r w:rsidRPr="007539C8">
        <w:rPr>
          <w:rFonts w:ascii="Bookman Old Style" w:hAnsi="Bookman Old Style" w:cs="TimesNewRomanPSMT"/>
        </w:rPr>
        <w:t>, un rappresentante dell’A</w:t>
      </w:r>
      <w:r w:rsidR="005125A7" w:rsidRPr="007539C8">
        <w:rPr>
          <w:rFonts w:ascii="Bookman Old Style" w:hAnsi="Bookman Old Style" w:cs="TimesNewRomanPSMT"/>
        </w:rPr>
        <w:t>RERA</w:t>
      </w:r>
      <w:r w:rsidRPr="00245154">
        <w:rPr>
          <w:rFonts w:ascii="Bookman Old Style" w:hAnsi="Bookman Old Style" w:cs="TimesNewRomanPSMT"/>
          <w:u w:val="single"/>
        </w:rPr>
        <w:t>, un rappresentante dell’A</w:t>
      </w:r>
      <w:r w:rsidR="0073177E" w:rsidRPr="00245154">
        <w:rPr>
          <w:rFonts w:ascii="Bookman Old Style" w:hAnsi="Bookman Old Style" w:cs="TimesNewRomanPSMT"/>
          <w:u w:val="single"/>
        </w:rPr>
        <w:t>NCI</w:t>
      </w:r>
      <w:r w:rsidRPr="007539C8">
        <w:rPr>
          <w:rFonts w:ascii="Bookman Old Style" w:hAnsi="Bookman Old Style" w:cs="TimesNewRomanPSMT"/>
        </w:rPr>
        <w:t>.</w:t>
      </w:r>
    </w:p>
    <w:p w14:paraId="16E0606D" w14:textId="0965E2A9" w:rsidR="00BB6988" w:rsidRPr="007539C8" w:rsidRDefault="00A43D68" w:rsidP="00DD1549">
      <w:pPr>
        <w:autoSpaceDE w:val="0"/>
        <w:autoSpaceDN w:val="0"/>
        <w:adjustRightInd w:val="0"/>
        <w:spacing w:after="0" w:line="240" w:lineRule="auto"/>
        <w:jc w:val="both"/>
        <w:rPr>
          <w:rFonts w:ascii="Bookman Old Style" w:hAnsi="Bookman Old Style" w:cs="TimesNewRomanPSMT"/>
        </w:rPr>
      </w:pPr>
      <w:r w:rsidRPr="007539C8">
        <w:rPr>
          <w:rFonts w:ascii="Bookman Old Style" w:hAnsi="Bookman Old Style" w:cs="TimesNewRomanPSMT"/>
        </w:rPr>
        <w:t xml:space="preserve">Le </w:t>
      </w:r>
      <w:r w:rsidRPr="007539C8">
        <w:rPr>
          <w:rFonts w:ascii="Bookman Old Style" w:hAnsi="Bookman Old Style" w:cs="TimesNewRomanPSMT"/>
          <w:u w:val="single"/>
        </w:rPr>
        <w:t>modalità di funzionamento</w:t>
      </w:r>
      <w:r w:rsidRPr="007539C8">
        <w:rPr>
          <w:rFonts w:ascii="Bookman Old Style" w:hAnsi="Bookman Old Style" w:cs="TimesNewRomanPSMT"/>
        </w:rPr>
        <w:t xml:space="preserve"> sono stabilite </w:t>
      </w:r>
      <w:r w:rsidRPr="007539C8">
        <w:rPr>
          <w:rFonts w:ascii="Bookman Old Style" w:hAnsi="Bookman Old Style" w:cs="TimesNewRomanPSMT"/>
          <w:u w:val="single"/>
        </w:rPr>
        <w:t>entro</w:t>
      </w:r>
      <w:r w:rsidR="00BB6988" w:rsidRPr="007539C8">
        <w:rPr>
          <w:rFonts w:ascii="Bookman Old Style" w:hAnsi="Bookman Old Style" w:cs="TimesNewRomanPSMT"/>
          <w:u w:val="single"/>
        </w:rPr>
        <w:t xml:space="preserve"> trenta giorni dalla data di entrata in vigore della presente disposizione</w:t>
      </w:r>
      <w:r w:rsidRPr="007539C8">
        <w:rPr>
          <w:rFonts w:ascii="Bookman Old Style" w:hAnsi="Bookman Old Style" w:cs="TimesNewRomanPSMT"/>
        </w:rPr>
        <w:t xml:space="preserve"> con decreto MITE.</w:t>
      </w:r>
    </w:p>
    <w:p w14:paraId="24B51555" w14:textId="77777777" w:rsidR="00794C22" w:rsidRPr="007539C8" w:rsidRDefault="00794C22" w:rsidP="00794C22">
      <w:pPr>
        <w:autoSpaceDE w:val="0"/>
        <w:autoSpaceDN w:val="0"/>
        <w:adjustRightInd w:val="0"/>
        <w:spacing w:after="0" w:line="240" w:lineRule="auto"/>
        <w:jc w:val="both"/>
        <w:rPr>
          <w:rFonts w:ascii="Bookman Old Style" w:hAnsi="Bookman Old Style" w:cs="TimesNewRomanPS-BoldItalicMT"/>
          <w:b/>
          <w:bCs/>
        </w:rPr>
      </w:pPr>
    </w:p>
    <w:p w14:paraId="43099022" w14:textId="77777777" w:rsidR="00794C22" w:rsidRPr="007539C8" w:rsidRDefault="00794C22" w:rsidP="00794C22">
      <w:pPr>
        <w:autoSpaceDE w:val="0"/>
        <w:autoSpaceDN w:val="0"/>
        <w:adjustRightInd w:val="0"/>
        <w:spacing w:after="0" w:line="240" w:lineRule="auto"/>
        <w:jc w:val="both"/>
        <w:rPr>
          <w:rFonts w:ascii="Bookman Old Style" w:hAnsi="Bookman Old Style"/>
        </w:rPr>
      </w:pPr>
      <w:r w:rsidRPr="007539C8">
        <w:rPr>
          <w:rFonts w:ascii="Bookman Old Style" w:hAnsi="Bookman Old Style"/>
        </w:rPr>
        <w:t xml:space="preserve">Le risultanze delle attività dell’Organismo di vigilanza </w:t>
      </w:r>
      <w:r w:rsidRPr="007539C8">
        <w:rPr>
          <w:rFonts w:ascii="Bookman Old Style" w:hAnsi="Bookman Old Style"/>
          <w:u w:val="single"/>
        </w:rPr>
        <w:t>sono rese pubbliche sul sito istituzionale del Ministero della transizione ecologica entro il 30 aprile di ogni anno</w:t>
      </w:r>
      <w:r w:rsidRPr="007539C8">
        <w:rPr>
          <w:rFonts w:ascii="Bookman Old Style" w:hAnsi="Bookman Old Style"/>
        </w:rPr>
        <w:t xml:space="preserve">. </w:t>
      </w:r>
    </w:p>
    <w:p w14:paraId="6A602782" w14:textId="60EB50E0" w:rsidR="00E63F42" w:rsidRPr="007539C8" w:rsidRDefault="00794C22" w:rsidP="00794C22">
      <w:pPr>
        <w:autoSpaceDE w:val="0"/>
        <w:autoSpaceDN w:val="0"/>
        <w:adjustRightInd w:val="0"/>
        <w:spacing w:after="0" w:line="240" w:lineRule="auto"/>
        <w:jc w:val="both"/>
        <w:rPr>
          <w:rFonts w:ascii="Bookman Old Style" w:hAnsi="Bookman Old Style" w:cs="TimesNewRomanPS-BoldItalicMT"/>
          <w:b/>
          <w:bCs/>
        </w:rPr>
      </w:pPr>
      <w:r w:rsidRPr="007539C8">
        <w:rPr>
          <w:rFonts w:ascii="Bookman Old Style" w:hAnsi="Bookman Old Style"/>
        </w:rPr>
        <w:t xml:space="preserve">Per il funzionamento dell’Organismo di vigilanza sono stanziati 50.000 euro per l’anno 2022 e 100.000 euro a decorrere dall’anno 2023. </w:t>
      </w:r>
      <w:r w:rsidRPr="007539C8">
        <w:rPr>
          <w:rFonts w:ascii="Bookman Old Style" w:hAnsi="Bookman Old Style"/>
          <w:u w:val="single"/>
        </w:rPr>
        <w:t>Ai componenti dell’Organismo di vigilanza non spettano compensi, gettoni di presenza, rimborsi di spese o altri emolumenti comunque denominati</w:t>
      </w:r>
      <w:r w:rsidRPr="007539C8">
        <w:rPr>
          <w:rFonts w:ascii="Bookman Old Style" w:hAnsi="Bookman Old Style"/>
        </w:rPr>
        <w:t>.</w:t>
      </w:r>
    </w:p>
    <w:p w14:paraId="41804CB5" w14:textId="44DC6C42" w:rsidR="00D37DA4" w:rsidRDefault="00D37DA4" w:rsidP="00F01630">
      <w:pPr>
        <w:autoSpaceDE w:val="0"/>
        <w:autoSpaceDN w:val="0"/>
        <w:adjustRightInd w:val="0"/>
        <w:spacing w:after="0" w:line="240" w:lineRule="auto"/>
        <w:rPr>
          <w:rFonts w:ascii="Bookman Old Style" w:hAnsi="Bookman Old Style" w:cs="TimesNewRomanPS-BoldItalicMT"/>
          <w:b/>
          <w:bCs/>
        </w:rPr>
      </w:pPr>
    </w:p>
    <w:p w14:paraId="5731FAA4" w14:textId="3369372D" w:rsidR="00F01630" w:rsidRDefault="00F01630" w:rsidP="00F01630">
      <w:pPr>
        <w:autoSpaceDE w:val="0"/>
        <w:autoSpaceDN w:val="0"/>
        <w:adjustRightInd w:val="0"/>
        <w:spacing w:after="0" w:line="240" w:lineRule="auto"/>
        <w:rPr>
          <w:rFonts w:ascii="Bookman Old Style" w:hAnsi="Bookman Old Style" w:cs="TimesNewRomanPS-BoldItalicMT"/>
          <w:b/>
          <w:bCs/>
        </w:rPr>
      </w:pPr>
    </w:p>
    <w:p w14:paraId="60F1B89A" w14:textId="0833B506" w:rsidR="00E63F42" w:rsidRPr="000C48C6" w:rsidRDefault="003676B4" w:rsidP="00EC15CE">
      <w:pPr>
        <w:pStyle w:val="Paragrafoelenco"/>
        <w:numPr>
          <w:ilvl w:val="0"/>
          <w:numId w:val="3"/>
        </w:numPr>
        <w:autoSpaceDE w:val="0"/>
        <w:autoSpaceDN w:val="0"/>
        <w:adjustRightInd w:val="0"/>
        <w:spacing w:after="0" w:line="240" w:lineRule="auto"/>
        <w:rPr>
          <w:rFonts w:ascii="Bookman Old Style" w:hAnsi="Bookman Old Style" w:cs="TimesNewRomanPS-BoldItalicMT"/>
          <w:b/>
          <w:bCs/>
          <w:color w:val="FF0000"/>
        </w:rPr>
      </w:pPr>
      <w:r w:rsidRPr="000C48C6">
        <w:rPr>
          <w:rFonts w:ascii="Bookman Old Style" w:hAnsi="Bookman Old Style" w:cs="TimesNewRomanPS-BoldItalicMT"/>
          <w:b/>
          <w:bCs/>
          <w:color w:val="FF0000"/>
        </w:rPr>
        <w:t>Misure in materia di fornitura di energia elettrica per la ricarica dei veicoli elettrici</w:t>
      </w:r>
      <w:r w:rsidR="00D81141" w:rsidRPr="000C48C6">
        <w:rPr>
          <w:rFonts w:ascii="Bookman Old Style" w:hAnsi="Bookman Old Style" w:cs="TimesNewRomanPS-BoldItalicMT"/>
          <w:b/>
          <w:bCs/>
          <w:color w:val="FF0000"/>
        </w:rPr>
        <w:t xml:space="preserve"> (Art. 23)</w:t>
      </w:r>
    </w:p>
    <w:p w14:paraId="52A5AEAB" w14:textId="4339DE9F" w:rsidR="00101406" w:rsidRPr="00B9258D" w:rsidRDefault="00101406" w:rsidP="008842C1">
      <w:p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cs="TimesNewRomanPSMT"/>
        </w:rPr>
        <w:t>Si stabilisce (apportando modifiche al</w:t>
      </w:r>
      <w:r w:rsidR="00155CBD" w:rsidRPr="00B9258D">
        <w:rPr>
          <w:rFonts w:ascii="Bookman Old Style" w:hAnsi="Bookman Old Style" w:cs="TimesNewRomanPSMT"/>
        </w:rPr>
        <w:t xml:space="preserve">l’art. 57 del </w:t>
      </w:r>
      <w:proofErr w:type="spellStart"/>
      <w:r w:rsidR="00155CBD" w:rsidRPr="00B9258D">
        <w:rPr>
          <w:rFonts w:ascii="Bookman Old Style" w:hAnsi="Bookman Old Style" w:cs="TimesNewRomanPSMT"/>
        </w:rPr>
        <w:t>d.l.</w:t>
      </w:r>
      <w:proofErr w:type="spellEnd"/>
      <w:r w:rsidRPr="00B9258D">
        <w:rPr>
          <w:rFonts w:ascii="Bookman Old Style" w:hAnsi="Bookman Old Style" w:cs="TimesNewRomanPSMT"/>
        </w:rPr>
        <w:t xml:space="preserve"> 76</w:t>
      </w:r>
      <w:r w:rsidR="00155CBD" w:rsidRPr="00B9258D">
        <w:rPr>
          <w:rFonts w:ascii="Bookman Old Style" w:hAnsi="Bookman Old Style" w:cs="TimesNewRomanPSMT"/>
        </w:rPr>
        <w:t>/2020) che n</w:t>
      </w:r>
      <w:r w:rsidR="00957087" w:rsidRPr="00B9258D">
        <w:rPr>
          <w:rFonts w:ascii="Bookman Old Style" w:hAnsi="Bookman Old Style" w:cs="TimesNewRomanPSMT"/>
        </w:rPr>
        <w:t>el caso in cui</w:t>
      </w:r>
      <w:r w:rsidR="008842C1" w:rsidRPr="00B9258D">
        <w:rPr>
          <w:rFonts w:ascii="Bookman Old Style" w:hAnsi="Bookman Old Style" w:cs="TimesNewRomanPSMT"/>
        </w:rPr>
        <w:t xml:space="preserve"> </w:t>
      </w:r>
      <w:r w:rsidR="00957087" w:rsidRPr="00B9258D">
        <w:rPr>
          <w:rFonts w:ascii="Bookman Old Style" w:hAnsi="Bookman Old Style" w:cs="TimesNewRomanPSMT"/>
        </w:rPr>
        <w:t>l’infrastruttura di ricarica per cui è richiesta l’autorizzazione insista sul suolo</w:t>
      </w:r>
      <w:r w:rsidR="008842C1" w:rsidRPr="00B9258D">
        <w:rPr>
          <w:rFonts w:ascii="Bookman Old Style" w:hAnsi="Bookman Old Style" w:cs="TimesNewRomanPSMT"/>
        </w:rPr>
        <w:t xml:space="preserve"> </w:t>
      </w:r>
      <w:r w:rsidR="00957087" w:rsidRPr="00B9258D">
        <w:rPr>
          <w:rFonts w:ascii="Bookman Old Style" w:hAnsi="Bookman Old Style" w:cs="TimesNewRomanPSMT"/>
        </w:rPr>
        <w:t xml:space="preserve">pubblico, o su suolo privato gravato da un diritto di servitù pubblica, </w:t>
      </w:r>
      <w:r w:rsidR="00957087" w:rsidRPr="00B9258D">
        <w:rPr>
          <w:rFonts w:ascii="Bookman Old Style" w:hAnsi="Bookman Old Style" w:cs="TimesNewRomanPSMT"/>
          <w:u w:val="single"/>
        </w:rPr>
        <w:t>il comune</w:t>
      </w:r>
      <w:r w:rsidR="008842C1" w:rsidRPr="00B9258D">
        <w:rPr>
          <w:rFonts w:ascii="Bookman Old Style" w:hAnsi="Bookman Old Style" w:cs="TimesNewRomanPSMT"/>
          <w:u w:val="single"/>
        </w:rPr>
        <w:t xml:space="preserve"> </w:t>
      </w:r>
      <w:r w:rsidR="00957087" w:rsidRPr="00B9258D">
        <w:rPr>
          <w:rFonts w:ascii="Bookman Old Style" w:hAnsi="Bookman Old Style" w:cs="TimesNewRomanPSMT"/>
          <w:u w:val="single"/>
        </w:rPr>
        <w:t>pubblica l’avvenuto ricevimento dell’istanza di autorizzazione sul proprio sito</w:t>
      </w:r>
      <w:r w:rsidR="008842C1" w:rsidRPr="00B9258D">
        <w:rPr>
          <w:rFonts w:ascii="Bookman Old Style" w:hAnsi="Bookman Old Style" w:cs="TimesNewRomanPSMT"/>
          <w:u w:val="single"/>
        </w:rPr>
        <w:t xml:space="preserve"> </w:t>
      </w:r>
      <w:r w:rsidR="00957087" w:rsidRPr="00B9258D">
        <w:rPr>
          <w:rFonts w:ascii="Bookman Old Style" w:hAnsi="Bookman Old Style" w:cs="TimesNewRomanPSMT"/>
          <w:u w:val="single"/>
        </w:rPr>
        <w:t>istituzionale nonché sulla Piattaforma unica nazionale dal momento della sua operatività</w:t>
      </w:r>
      <w:r w:rsidR="00957087" w:rsidRPr="00B9258D">
        <w:rPr>
          <w:rFonts w:ascii="Bookman Old Style" w:hAnsi="Bookman Old Style" w:cs="TimesNewRomanPSMT"/>
        </w:rPr>
        <w:t>.</w:t>
      </w:r>
      <w:r w:rsidR="008842C1" w:rsidRPr="00B9258D">
        <w:rPr>
          <w:rFonts w:ascii="Bookman Old Style" w:hAnsi="Bookman Old Style" w:cs="TimesNewRomanPSMT"/>
        </w:rPr>
        <w:t xml:space="preserve"> </w:t>
      </w:r>
      <w:r w:rsidR="00957087" w:rsidRPr="00B9258D">
        <w:rPr>
          <w:rFonts w:ascii="Bookman Old Style" w:hAnsi="Bookman Old Style" w:cs="TimesNewRomanPSMT"/>
        </w:rPr>
        <w:t>Decorsi quindici giorni dalla data di pubblicazione, l’autorizzazione può essere</w:t>
      </w:r>
      <w:r w:rsidR="008842C1" w:rsidRPr="00B9258D">
        <w:rPr>
          <w:rFonts w:ascii="Bookman Old Style" w:hAnsi="Bookman Old Style" w:cs="TimesNewRomanPSMT"/>
        </w:rPr>
        <w:t xml:space="preserve"> </w:t>
      </w:r>
      <w:r w:rsidR="00957087" w:rsidRPr="00B9258D">
        <w:rPr>
          <w:rFonts w:ascii="Bookman Old Style" w:hAnsi="Bookman Old Style" w:cs="TimesNewRomanPSMT"/>
        </w:rPr>
        <w:t>rilasciata al soggetto istante. Nel caso in cui più soggetti abbiano presentato istanza e</w:t>
      </w:r>
      <w:r w:rsidR="008842C1" w:rsidRPr="00B9258D">
        <w:rPr>
          <w:rFonts w:ascii="Bookman Old Style" w:hAnsi="Bookman Old Style" w:cs="TimesNewRomanPSMT"/>
        </w:rPr>
        <w:t xml:space="preserve"> </w:t>
      </w:r>
      <w:r w:rsidR="00957087" w:rsidRPr="00B9258D">
        <w:rPr>
          <w:rFonts w:ascii="Bookman Old Style" w:hAnsi="Bookman Old Style" w:cs="TimesNewRomanPSMT"/>
        </w:rPr>
        <w:t>il rilascio dell’autorizzazione a più soggetti non sia possibile ovvero compatibile con</w:t>
      </w:r>
      <w:r w:rsidR="008842C1" w:rsidRPr="00B9258D">
        <w:rPr>
          <w:rFonts w:ascii="Bookman Old Style" w:hAnsi="Bookman Old Style" w:cs="TimesNewRomanPSMT"/>
        </w:rPr>
        <w:t xml:space="preserve"> </w:t>
      </w:r>
      <w:r w:rsidR="00957087" w:rsidRPr="00B9258D">
        <w:rPr>
          <w:rFonts w:ascii="Bookman Old Style" w:hAnsi="Bookman Old Style" w:cs="TimesNewRomanPSMT"/>
        </w:rPr>
        <w:t xml:space="preserve">la programmazione degli spazi pubblici </w:t>
      </w:r>
      <w:r w:rsidR="00957087" w:rsidRPr="00B9258D">
        <w:rPr>
          <w:rFonts w:ascii="Bookman Old Style" w:hAnsi="Bookman Old Style" w:cs="TimesNewRomanPSMT"/>
        </w:rPr>
        <w:lastRenderedPageBreak/>
        <w:t>destinati alla ricarica dei veicoli elettrici</w:t>
      </w:r>
      <w:r w:rsidR="00382877" w:rsidRPr="00B9258D">
        <w:rPr>
          <w:rFonts w:ascii="Bookman Old Style" w:hAnsi="Bookman Old Style" w:cs="TimesNewRomanPSMT"/>
        </w:rPr>
        <w:t xml:space="preserve"> </w:t>
      </w:r>
      <w:r w:rsidR="00957087" w:rsidRPr="00B9258D">
        <w:rPr>
          <w:rFonts w:ascii="Bookman Old Style" w:hAnsi="Bookman Old Style" w:cs="TimesNewRomanPSMT"/>
        </w:rPr>
        <w:t>adottata dal comune, l’ottenimento dell</w:t>
      </w:r>
      <w:r w:rsidR="00382877" w:rsidRPr="00B9258D">
        <w:rPr>
          <w:rFonts w:ascii="Bookman Old Style" w:hAnsi="Bookman Old Style" w:cs="TimesNewRomanPSMT"/>
        </w:rPr>
        <w:t>’</w:t>
      </w:r>
      <w:r w:rsidR="00957087" w:rsidRPr="00B9258D">
        <w:rPr>
          <w:rFonts w:ascii="Bookman Old Style" w:hAnsi="Bookman Old Style" w:cs="TimesNewRomanPSMT"/>
        </w:rPr>
        <w:t>autorizzazione avviene all’esito di</w:t>
      </w:r>
      <w:r w:rsidRPr="00B9258D">
        <w:rPr>
          <w:rFonts w:ascii="Bookman Old Style" w:hAnsi="Bookman Old Style" w:cs="TimesNewRomanPSMT"/>
        </w:rPr>
        <w:t xml:space="preserve"> una procedura valutativa trasparente che assicuri il rispetto dei principi di imparzialità,</w:t>
      </w:r>
      <w:r w:rsidR="00382877" w:rsidRPr="00B9258D">
        <w:rPr>
          <w:rFonts w:ascii="Bookman Old Style" w:hAnsi="Bookman Old Style" w:cs="TimesNewRomanPSMT"/>
        </w:rPr>
        <w:t xml:space="preserve"> </w:t>
      </w:r>
      <w:r w:rsidRPr="00B9258D">
        <w:rPr>
          <w:rFonts w:ascii="Bookman Old Style" w:hAnsi="Bookman Old Style" w:cs="TimesNewRomanPSMT"/>
        </w:rPr>
        <w:t>parità di trattamento e non discriminazione tra gli operatori.</w:t>
      </w:r>
    </w:p>
    <w:p w14:paraId="27523E55" w14:textId="6F6389EA" w:rsidR="00E63F42" w:rsidRDefault="00E63F42" w:rsidP="008842C1">
      <w:pPr>
        <w:autoSpaceDE w:val="0"/>
        <w:autoSpaceDN w:val="0"/>
        <w:adjustRightInd w:val="0"/>
        <w:spacing w:after="0" w:line="240" w:lineRule="auto"/>
        <w:jc w:val="both"/>
        <w:rPr>
          <w:rFonts w:ascii="Bookman Old Style" w:hAnsi="Bookman Old Style" w:cs="TimesNewRomanPS-BoldItalicMT"/>
          <w:b/>
          <w:bCs/>
        </w:rPr>
      </w:pPr>
    </w:p>
    <w:p w14:paraId="58AED17D" w14:textId="630913DA" w:rsidR="00D37DA4" w:rsidRDefault="00D37DA4" w:rsidP="008842C1">
      <w:pPr>
        <w:autoSpaceDE w:val="0"/>
        <w:autoSpaceDN w:val="0"/>
        <w:adjustRightInd w:val="0"/>
        <w:spacing w:after="0" w:line="240" w:lineRule="auto"/>
        <w:jc w:val="both"/>
        <w:rPr>
          <w:rFonts w:ascii="Bookman Old Style" w:hAnsi="Bookman Old Style" w:cs="TimesNewRomanPS-BoldItalicMT"/>
          <w:b/>
          <w:bCs/>
        </w:rPr>
      </w:pPr>
    </w:p>
    <w:p w14:paraId="4A43DDF0" w14:textId="29F9BBC1" w:rsidR="00982010" w:rsidRPr="000C48C6" w:rsidRDefault="00982010" w:rsidP="00401595">
      <w:pPr>
        <w:pStyle w:val="Paragrafoelenco"/>
        <w:numPr>
          <w:ilvl w:val="0"/>
          <w:numId w:val="3"/>
        </w:numPr>
        <w:autoSpaceDE w:val="0"/>
        <w:autoSpaceDN w:val="0"/>
        <w:adjustRightInd w:val="0"/>
        <w:spacing w:after="0" w:line="240" w:lineRule="auto"/>
        <w:rPr>
          <w:rFonts w:ascii="Bookman Old Style" w:hAnsi="Bookman Old Style" w:cs="TimesNewRomanPS-BoldItalicMT"/>
          <w:b/>
          <w:bCs/>
          <w:color w:val="FF0000"/>
        </w:rPr>
      </w:pPr>
      <w:r w:rsidRPr="000C48C6">
        <w:rPr>
          <w:rFonts w:ascii="Bookman Old Style" w:hAnsi="Bookman Old Style" w:cs="TimesNewRomanPS-BoldItalicMT"/>
          <w:b/>
          <w:bCs/>
          <w:color w:val="FF0000"/>
        </w:rPr>
        <w:t>Accesso al Fondo per l’avvio di opere indifferibili</w:t>
      </w:r>
      <w:r w:rsidR="00950AAA" w:rsidRPr="000C48C6">
        <w:rPr>
          <w:rFonts w:ascii="Bookman Old Style" w:hAnsi="Bookman Old Style" w:cs="TimesNewRomanPS-BoldItalicMT"/>
          <w:b/>
          <w:bCs/>
          <w:color w:val="FF0000"/>
        </w:rPr>
        <w:t xml:space="preserve"> (Art. 29)</w:t>
      </w:r>
    </w:p>
    <w:p w14:paraId="3A9A0F51" w14:textId="04A91DB2" w:rsidR="002B40B3" w:rsidRPr="00B9258D" w:rsidRDefault="006C60CB" w:rsidP="00982010">
      <w:pPr>
        <w:autoSpaceDE w:val="0"/>
        <w:autoSpaceDN w:val="0"/>
        <w:adjustRightInd w:val="0"/>
        <w:spacing w:after="0" w:line="240" w:lineRule="auto"/>
        <w:jc w:val="both"/>
        <w:rPr>
          <w:rFonts w:ascii="Bookman Old Style" w:hAnsi="Bookman Old Style" w:cs="TimesNewRomanPSMT"/>
          <w:b/>
          <w:bCs/>
          <w:u w:val="single"/>
        </w:rPr>
      </w:pPr>
      <w:r w:rsidRPr="00B9258D">
        <w:rPr>
          <w:rFonts w:ascii="Bookman Old Style" w:hAnsi="Bookman Old Style" w:cs="TimesNewRomanPS-BoldItalicMT"/>
        </w:rPr>
        <w:t>Viene estesa</w:t>
      </w:r>
      <w:r w:rsidR="005E6482" w:rsidRPr="00B9258D">
        <w:rPr>
          <w:rFonts w:ascii="Bookman Old Style" w:hAnsi="Bookman Old Style" w:cs="TimesNewRomanPS-BoldItalicMT"/>
          <w:b/>
          <w:bCs/>
        </w:rPr>
        <w:t xml:space="preserve"> </w:t>
      </w:r>
      <w:r w:rsidR="002B40B3" w:rsidRPr="00B9258D">
        <w:rPr>
          <w:rFonts w:ascii="Bookman Old Style" w:hAnsi="Bookman Old Style" w:cs="TimesNewRomanPSMT"/>
          <w:b/>
          <w:bCs/>
          <w:u w:val="single"/>
        </w:rPr>
        <w:t xml:space="preserve">la procedura </w:t>
      </w:r>
      <w:r w:rsidR="007C21BE" w:rsidRPr="00B9258D">
        <w:rPr>
          <w:rFonts w:ascii="Bookman Old Style" w:hAnsi="Bookman Old Style" w:cs="TimesNewRomanPSMT"/>
          <w:b/>
          <w:bCs/>
          <w:u w:val="single"/>
        </w:rPr>
        <w:t xml:space="preserve">semplificata </w:t>
      </w:r>
      <w:r w:rsidR="002B40B3" w:rsidRPr="00B9258D">
        <w:rPr>
          <w:rFonts w:ascii="Bookman Old Style" w:hAnsi="Bookman Old Style"/>
        </w:rPr>
        <w:t xml:space="preserve">speciale per gli enti locali, </w:t>
      </w:r>
      <w:r w:rsidR="00982010" w:rsidRPr="00B9258D">
        <w:rPr>
          <w:rFonts w:ascii="Bookman Old Style" w:hAnsi="Bookman Old Style"/>
        </w:rPr>
        <w:t>disciplinata dai commi 2 e 3 dell’art. 7 del</w:t>
      </w:r>
      <w:r w:rsidR="002B40B3" w:rsidRPr="00B9258D">
        <w:rPr>
          <w:rFonts w:ascii="Bookman Old Style" w:hAnsi="Bookman Old Style"/>
        </w:rPr>
        <w:t xml:space="preserve"> </w:t>
      </w:r>
      <w:r w:rsidR="002B40B3" w:rsidRPr="00B9258D">
        <w:rPr>
          <w:rFonts w:ascii="Bookman Old Style" w:hAnsi="Bookman Old Style" w:cs="TimesNewRomanPSMT"/>
          <w:b/>
          <w:bCs/>
          <w:u w:val="single"/>
        </w:rPr>
        <w:t>DPCM 28 luglio 2022</w:t>
      </w:r>
      <w:r w:rsidR="001046BF">
        <w:rPr>
          <w:rFonts w:ascii="Bookman Old Style" w:hAnsi="Bookman Old Style" w:cs="TimesNewRomanPSMT"/>
          <w:b/>
          <w:bCs/>
          <w:u w:val="single"/>
        </w:rPr>
        <w:t>,</w:t>
      </w:r>
      <w:r w:rsidR="00982010" w:rsidRPr="00B9258D">
        <w:rPr>
          <w:rFonts w:ascii="Bookman Old Style" w:hAnsi="Bookman Old Style" w:cs="TimesNewRomanPSMT"/>
          <w:b/>
          <w:bCs/>
          <w:u w:val="single"/>
        </w:rPr>
        <w:t xml:space="preserve"> </w:t>
      </w:r>
      <w:r w:rsidR="00EF4A1A" w:rsidRPr="001046BF">
        <w:rPr>
          <w:rFonts w:ascii="Bookman Old Style" w:hAnsi="Bookman Old Style" w:cs="TimesNewRomanPSMT"/>
          <w:u w:val="single"/>
        </w:rPr>
        <w:t xml:space="preserve">pubblicato sulla </w:t>
      </w:r>
      <w:r w:rsidR="00D94B65" w:rsidRPr="001046BF">
        <w:rPr>
          <w:rFonts w:ascii="Bookman Old Style" w:hAnsi="Bookman Old Style" w:cs="TimesNewRomanPSMT"/>
          <w:u w:val="single"/>
        </w:rPr>
        <w:t>Gazzetta Ufficiale n. 213 del 12 sett</w:t>
      </w:r>
      <w:r w:rsidR="001046BF" w:rsidRPr="001046BF">
        <w:rPr>
          <w:rFonts w:ascii="Bookman Old Style" w:hAnsi="Bookman Old Style" w:cs="TimesNewRomanPSMT"/>
          <w:u w:val="single"/>
        </w:rPr>
        <w:t>e</w:t>
      </w:r>
      <w:r w:rsidR="00D94B65" w:rsidRPr="001046BF">
        <w:rPr>
          <w:rFonts w:ascii="Bookman Old Style" w:hAnsi="Bookman Old Style" w:cs="TimesNewRomanPSMT"/>
          <w:u w:val="single"/>
        </w:rPr>
        <w:t>mbre u.s.</w:t>
      </w:r>
      <w:r w:rsidR="001046BF">
        <w:rPr>
          <w:rFonts w:ascii="Bookman Old Style" w:hAnsi="Bookman Old Style" w:cs="TimesNewRomanPSMT"/>
          <w:u w:val="single"/>
        </w:rPr>
        <w:t>,</w:t>
      </w:r>
      <w:r w:rsidR="00D94B65">
        <w:rPr>
          <w:rFonts w:ascii="Bookman Old Style" w:hAnsi="Bookman Old Style" w:cs="TimesNewRomanPSMT"/>
          <w:b/>
          <w:bCs/>
          <w:u w:val="single"/>
        </w:rPr>
        <w:t xml:space="preserve"> </w:t>
      </w:r>
      <w:r w:rsidR="005E6482" w:rsidRPr="00B9258D">
        <w:rPr>
          <w:rFonts w:ascii="Bookman Old Style" w:hAnsi="Bookman Old Style" w:cs="TimesNewRomanPS-BoldItalicMT"/>
          <w:b/>
          <w:bCs/>
          <w:u w:val="single"/>
        </w:rPr>
        <w:t xml:space="preserve">anche </w:t>
      </w:r>
      <w:r w:rsidR="005E6482" w:rsidRPr="00B9258D">
        <w:rPr>
          <w:rFonts w:ascii="Bookman Old Style" w:hAnsi="Bookman Old Style" w:cs="TimesNewRomanPSMT"/>
          <w:b/>
          <w:bCs/>
          <w:u w:val="single"/>
        </w:rPr>
        <w:t>a</w:t>
      </w:r>
      <w:r w:rsidR="002B40B3" w:rsidRPr="00B9258D">
        <w:rPr>
          <w:rFonts w:ascii="Bookman Old Style" w:hAnsi="Bookman Old Style" w:cs="TimesNewRomanPSMT"/>
          <w:b/>
          <w:bCs/>
          <w:u w:val="single"/>
        </w:rPr>
        <w:t>i seguenti interventi</w:t>
      </w:r>
      <w:r w:rsidR="00EF4A1A">
        <w:rPr>
          <w:rFonts w:ascii="Bookman Old Style" w:hAnsi="Bookman Old Style" w:cs="TimesNewRomanPSMT"/>
          <w:b/>
          <w:bCs/>
          <w:u w:val="single"/>
        </w:rPr>
        <w:t xml:space="preserve"> PNC</w:t>
      </w:r>
      <w:r w:rsidR="002B40B3" w:rsidRPr="00B9258D">
        <w:rPr>
          <w:rFonts w:ascii="Bookman Old Style" w:hAnsi="Bookman Old Style" w:cs="TimesNewRomanPSMT"/>
          <w:b/>
          <w:bCs/>
          <w:u w:val="single"/>
        </w:rPr>
        <w:t>:</w:t>
      </w:r>
    </w:p>
    <w:p w14:paraId="7ADAD163" w14:textId="379FC5DE" w:rsidR="002B40B3" w:rsidRPr="00B9258D" w:rsidRDefault="002B40B3" w:rsidP="00982010">
      <w:pPr>
        <w:autoSpaceDE w:val="0"/>
        <w:autoSpaceDN w:val="0"/>
        <w:adjustRightInd w:val="0"/>
        <w:spacing w:after="0" w:line="240" w:lineRule="auto"/>
        <w:jc w:val="both"/>
        <w:rPr>
          <w:rFonts w:ascii="Bookman Old Style" w:hAnsi="Bookman Old Style" w:cs="TimesNewRomanPSMT"/>
        </w:rPr>
      </w:pPr>
    </w:p>
    <w:p w14:paraId="077695B7" w14:textId="22CFA116" w:rsidR="002B40B3" w:rsidRPr="00B9258D" w:rsidRDefault="00982010" w:rsidP="00982010">
      <w:pPr>
        <w:pStyle w:val="Paragrafoelenco"/>
        <w:numPr>
          <w:ilvl w:val="0"/>
          <w:numId w:val="1"/>
        </w:num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shd w:val="clear" w:color="auto" w:fill="FFFFFF"/>
        </w:rPr>
        <w:t>Interventi per le aree del terremoto del 2009 e 2016: 220 milioni di euro per l'anno 2021, 720 milioni di euro per l'anno 2022, 320 milioni di euro per l'anno 2023, 280 milioni di euro per l'anno 2024, 160 milioni di euro per l'anno 2025 e 80 milioni di euro per l'anno 2026;</w:t>
      </w:r>
    </w:p>
    <w:p w14:paraId="19BBF2A3" w14:textId="77777777" w:rsidR="002B40B3" w:rsidRPr="00B9258D" w:rsidRDefault="002B40B3" w:rsidP="00982010">
      <w:pPr>
        <w:autoSpaceDE w:val="0"/>
        <w:autoSpaceDN w:val="0"/>
        <w:adjustRightInd w:val="0"/>
        <w:spacing w:after="0" w:line="240" w:lineRule="auto"/>
        <w:jc w:val="both"/>
        <w:rPr>
          <w:rFonts w:ascii="Bookman Old Style" w:hAnsi="Bookman Old Style" w:cs="TimesNewRomanPSMT"/>
        </w:rPr>
      </w:pPr>
    </w:p>
    <w:p w14:paraId="1EB8DBA4" w14:textId="5EB15A39" w:rsidR="00982010" w:rsidRPr="00B9258D" w:rsidRDefault="00982010" w:rsidP="00982010">
      <w:pPr>
        <w:pStyle w:val="Paragrafoelenco"/>
        <w:numPr>
          <w:ilvl w:val="0"/>
          <w:numId w:val="1"/>
        </w:numPr>
        <w:shd w:val="clear" w:color="auto" w:fill="FFFFFF"/>
        <w:spacing w:after="120" w:line="240" w:lineRule="auto"/>
        <w:jc w:val="both"/>
        <w:rPr>
          <w:rFonts w:ascii="Bookman Old Style" w:eastAsia="Times New Roman" w:hAnsi="Bookman Old Style" w:cs="Times New Roman"/>
          <w:lang w:eastAsia="it-IT"/>
        </w:rPr>
      </w:pPr>
      <w:r w:rsidRPr="00B9258D">
        <w:rPr>
          <w:rFonts w:ascii="Bookman Old Style" w:eastAsia="Times New Roman" w:hAnsi="Bookman Old Style" w:cs="Times New Roman"/>
          <w:lang w:eastAsia="it-IT"/>
        </w:rPr>
        <w:t>Strategia Nazionale Aree Interne - Miglioramento dell'accessibilità e della sicurezza delle strade, inclusa la manutenzione straordinaria anche rispetto a fenomeni di dissesto idrogeologico o a situazioni di limitazione della circolazione: 20 milioni di euro per l'anno 2021, 50 milioni di euro per l'anno 2022, 30 milioni di euro per l'anno 2023, 50 milioni di euro per l'anno 2024, 100 milioni di euro per l'anno 2025 e 50 milioni di euro per l'anno 2026;</w:t>
      </w:r>
      <w:bookmarkStart w:id="0" w:name="espon_n6"/>
      <w:r w:rsidRPr="00B9258D">
        <w:rPr>
          <w:rFonts w:ascii="Bookman Old Style" w:eastAsia="Times New Roman" w:hAnsi="Bookman Old Style" w:cs="Times New Roman"/>
          <w:lang w:eastAsia="it-IT"/>
        </w:rPr>
        <w:t xml:space="preserve"> </w:t>
      </w:r>
    </w:p>
    <w:p w14:paraId="21E66E20" w14:textId="77777777" w:rsidR="00982010" w:rsidRPr="00B9258D" w:rsidRDefault="00982010" w:rsidP="00982010">
      <w:pPr>
        <w:pStyle w:val="Paragrafoelenco"/>
        <w:shd w:val="clear" w:color="auto" w:fill="FFFFFF"/>
        <w:spacing w:after="120" w:line="240" w:lineRule="auto"/>
        <w:jc w:val="both"/>
        <w:rPr>
          <w:rFonts w:ascii="Bookman Old Style" w:eastAsia="Times New Roman" w:hAnsi="Bookman Old Style" w:cs="Times New Roman"/>
          <w:lang w:eastAsia="it-IT"/>
        </w:rPr>
      </w:pPr>
    </w:p>
    <w:p w14:paraId="34CEE8DD" w14:textId="5266A893" w:rsidR="00982010" w:rsidRPr="00B9258D" w:rsidRDefault="00982010" w:rsidP="00982010">
      <w:pPr>
        <w:pStyle w:val="Paragrafoelenco"/>
        <w:numPr>
          <w:ilvl w:val="0"/>
          <w:numId w:val="1"/>
        </w:numPr>
        <w:shd w:val="clear" w:color="auto" w:fill="FFFFFF"/>
        <w:spacing w:after="120" w:line="240" w:lineRule="auto"/>
        <w:jc w:val="both"/>
        <w:rPr>
          <w:rFonts w:ascii="Bookman Old Style" w:eastAsia="Times New Roman" w:hAnsi="Bookman Old Style" w:cs="Times New Roman"/>
          <w:lang w:eastAsia="it-IT"/>
        </w:rPr>
      </w:pPr>
      <w:r w:rsidRPr="00B9258D">
        <w:rPr>
          <w:rFonts w:ascii="Bookman Old Style" w:eastAsia="Times New Roman" w:hAnsi="Bookman Old Style" w:cs="Times New Roman"/>
          <w:lang w:eastAsia="it-IT"/>
        </w:rPr>
        <w:t>Sicuro, verde e sociale: riqualificazione dell’edilizia residenziale pubblica: 200 milioni di euro per l'anno 2021, 400 milioni di euro per l'anno 2022 e 350 milioni di euro per ciascuno degli anni dal 2023 al 2026</w:t>
      </w:r>
      <w:bookmarkEnd w:id="0"/>
    </w:p>
    <w:p w14:paraId="475DF2E8" w14:textId="77777777" w:rsidR="00982010" w:rsidRPr="00B9258D" w:rsidRDefault="00982010" w:rsidP="00982010">
      <w:pPr>
        <w:pStyle w:val="Paragrafoelenco"/>
        <w:shd w:val="clear" w:color="auto" w:fill="FFFFFF"/>
        <w:spacing w:after="120" w:line="240" w:lineRule="auto"/>
        <w:jc w:val="both"/>
        <w:rPr>
          <w:rFonts w:ascii="Bookman Old Style" w:eastAsia="Times New Roman" w:hAnsi="Bookman Old Style" w:cs="Times New Roman"/>
          <w:lang w:eastAsia="it-IT"/>
        </w:rPr>
      </w:pPr>
    </w:p>
    <w:p w14:paraId="4BC379BC" w14:textId="4574435A" w:rsidR="00982010" w:rsidRPr="00B9258D" w:rsidRDefault="00982010" w:rsidP="00982010">
      <w:pPr>
        <w:pStyle w:val="Paragrafoelenco"/>
        <w:numPr>
          <w:ilvl w:val="0"/>
          <w:numId w:val="1"/>
        </w:numPr>
        <w:shd w:val="clear" w:color="auto" w:fill="FFFFFF"/>
        <w:spacing w:after="120" w:line="240" w:lineRule="auto"/>
        <w:jc w:val="both"/>
        <w:rPr>
          <w:rFonts w:ascii="Bookman Old Style" w:eastAsia="Times New Roman" w:hAnsi="Bookman Old Style" w:cs="Times New Roman"/>
          <w:lang w:eastAsia="it-IT"/>
        </w:rPr>
      </w:pPr>
      <w:r w:rsidRPr="00B9258D">
        <w:rPr>
          <w:rFonts w:ascii="Bookman Old Style" w:hAnsi="Bookman Old Style"/>
        </w:rPr>
        <w:t>Piano di investimenti strategici su siti del patrimonio culturale, edifici e aree naturali: 207,7 milioni di euro per l'anno 2021, 355,24 milioni di euro per l'anno 2022, 284,9 milioni di euro per l'anno 2023, 265,1 milioni di euro per l'anno 2024, 260 milioni di euro per l'anno 2025 e 82,3 milioni di euro per l'anno 2026</w:t>
      </w:r>
    </w:p>
    <w:p w14:paraId="55B762A5" w14:textId="50B9E19F" w:rsidR="002B40B3" w:rsidRPr="00B9258D" w:rsidRDefault="002B40B3" w:rsidP="00982010">
      <w:pPr>
        <w:autoSpaceDE w:val="0"/>
        <w:autoSpaceDN w:val="0"/>
        <w:adjustRightInd w:val="0"/>
        <w:spacing w:after="0" w:line="240" w:lineRule="auto"/>
        <w:jc w:val="both"/>
        <w:rPr>
          <w:rFonts w:ascii="Bookman Old Style" w:hAnsi="Bookman Old Style" w:cs="TimesNewRomanPSMT"/>
          <w:i/>
          <w:iCs/>
        </w:rPr>
      </w:pPr>
      <w:r w:rsidRPr="00B9258D">
        <w:rPr>
          <w:rFonts w:ascii="Bookman Old Style" w:hAnsi="Bookman Old Style" w:cs="TimesNewRomanPSMT"/>
        </w:rPr>
        <w:t>(</w:t>
      </w:r>
      <w:r w:rsidR="00982010" w:rsidRPr="00B9258D">
        <w:rPr>
          <w:rFonts w:ascii="Bookman Old Style" w:hAnsi="Bookman Old Style" w:cs="TimesNewRomanPSMT"/>
          <w:i/>
          <w:iCs/>
        </w:rPr>
        <w:t>Si tratta delle risorse</w:t>
      </w:r>
      <w:r w:rsidR="005E6482" w:rsidRPr="00B9258D">
        <w:rPr>
          <w:rFonts w:ascii="Bookman Old Style" w:hAnsi="Bookman Old Style" w:cs="TimesNewRomanPSMT"/>
          <w:i/>
          <w:iCs/>
        </w:rPr>
        <w:t xml:space="preserve"> di</w:t>
      </w:r>
      <w:r w:rsidRPr="00B9258D">
        <w:rPr>
          <w:rFonts w:ascii="Bookman Old Style" w:hAnsi="Bookman Old Style" w:cs="TimesNewRomanPSMT"/>
          <w:i/>
          <w:iCs/>
        </w:rPr>
        <w:t xml:space="preserve"> </w:t>
      </w:r>
      <w:r w:rsidR="005E6482" w:rsidRPr="00B9258D">
        <w:rPr>
          <w:rFonts w:ascii="Bookman Old Style" w:hAnsi="Bookman Old Style" w:cs="TimesNewRomanPSMT"/>
          <w:i/>
          <w:iCs/>
        </w:rPr>
        <w:t>cui all’articolo 1, comma 2, lettera b), numero 1, lettera c), numeri 12 e 13 e lettera</w:t>
      </w:r>
      <w:r w:rsidRPr="00B9258D">
        <w:rPr>
          <w:rFonts w:ascii="Bookman Old Style" w:hAnsi="Bookman Old Style" w:cs="TimesNewRomanPSMT"/>
          <w:i/>
          <w:iCs/>
        </w:rPr>
        <w:t xml:space="preserve"> </w:t>
      </w:r>
      <w:r w:rsidR="005E6482" w:rsidRPr="00B9258D">
        <w:rPr>
          <w:rFonts w:ascii="Bookman Old Style" w:hAnsi="Bookman Old Style" w:cs="TimesNewRomanPSMT"/>
          <w:i/>
          <w:iCs/>
        </w:rPr>
        <w:t xml:space="preserve">d), numero 1, del </w:t>
      </w:r>
      <w:proofErr w:type="spellStart"/>
      <w:r w:rsidR="005E6482" w:rsidRPr="00B9258D">
        <w:rPr>
          <w:rFonts w:ascii="Bookman Old Style" w:hAnsi="Bookman Old Style" w:cs="TimesNewRomanPSMT"/>
          <w:i/>
          <w:iCs/>
        </w:rPr>
        <w:t>d</w:t>
      </w:r>
      <w:r w:rsidR="007721B2" w:rsidRPr="00B9258D">
        <w:rPr>
          <w:rFonts w:ascii="Bookman Old Style" w:hAnsi="Bookman Old Style" w:cs="TimesNewRomanPSMT"/>
          <w:i/>
          <w:iCs/>
        </w:rPr>
        <w:t>.l.</w:t>
      </w:r>
      <w:proofErr w:type="spellEnd"/>
      <w:r w:rsidR="005E6482" w:rsidRPr="00B9258D">
        <w:rPr>
          <w:rFonts w:ascii="Bookman Old Style" w:hAnsi="Bookman Old Style" w:cs="TimesNewRomanPSMT"/>
          <w:i/>
          <w:iCs/>
        </w:rPr>
        <w:t xml:space="preserve"> 6 maggio 2021, n. 59</w:t>
      </w:r>
      <w:r w:rsidRPr="00B9258D">
        <w:rPr>
          <w:rFonts w:ascii="Bookman Old Style" w:hAnsi="Bookman Old Style" w:cs="TimesNewRomanPSMT"/>
          <w:i/>
          <w:iCs/>
        </w:rPr>
        <w:t>)</w:t>
      </w:r>
    </w:p>
    <w:p w14:paraId="061161FD" w14:textId="63E8D67D" w:rsidR="00B91424" w:rsidRPr="00B9258D" w:rsidRDefault="00B91424" w:rsidP="00982010">
      <w:pPr>
        <w:autoSpaceDE w:val="0"/>
        <w:autoSpaceDN w:val="0"/>
        <w:adjustRightInd w:val="0"/>
        <w:spacing w:after="0" w:line="240" w:lineRule="auto"/>
        <w:jc w:val="both"/>
        <w:rPr>
          <w:rFonts w:ascii="Bookman Old Style" w:hAnsi="Bookman Old Style" w:cs="TimesNewRomanPSMT"/>
          <w:i/>
          <w:iCs/>
        </w:rPr>
      </w:pPr>
    </w:p>
    <w:p w14:paraId="66C82EA4" w14:textId="28B23A92" w:rsidR="007618E7" w:rsidRPr="000C48C6" w:rsidRDefault="007618E7" w:rsidP="000C48C6">
      <w:pPr>
        <w:autoSpaceDE w:val="0"/>
        <w:autoSpaceDN w:val="0"/>
        <w:adjustRightInd w:val="0"/>
        <w:spacing w:after="0" w:line="240" w:lineRule="auto"/>
        <w:jc w:val="both"/>
        <w:rPr>
          <w:rFonts w:ascii="Bookman Old Style" w:hAnsi="Bookman Old Style" w:cs="TimesNewRomanPSMT"/>
          <w:i/>
          <w:iCs/>
          <w:color w:val="FF0000"/>
        </w:rPr>
      </w:pPr>
    </w:p>
    <w:p w14:paraId="0641ED79" w14:textId="648CE56E" w:rsidR="00B91424" w:rsidRPr="000C48C6" w:rsidRDefault="00B91424" w:rsidP="000C48C6">
      <w:pPr>
        <w:pStyle w:val="Paragrafoelenco"/>
        <w:numPr>
          <w:ilvl w:val="0"/>
          <w:numId w:val="3"/>
        </w:numPr>
        <w:autoSpaceDE w:val="0"/>
        <w:autoSpaceDN w:val="0"/>
        <w:adjustRightInd w:val="0"/>
        <w:spacing w:after="0" w:line="240" w:lineRule="auto"/>
        <w:jc w:val="both"/>
        <w:rPr>
          <w:rFonts w:ascii="Bookman Old Style" w:hAnsi="Bookman Old Style" w:cs="TimesNewRomanPS-BoldItalicMT"/>
          <w:b/>
          <w:bCs/>
          <w:color w:val="FF0000"/>
        </w:rPr>
      </w:pPr>
      <w:r w:rsidRPr="000C48C6">
        <w:rPr>
          <w:rFonts w:ascii="Bookman Old Style" w:hAnsi="Bookman Old Style" w:cs="TimesNewRomanPS-BoldItalicMT"/>
          <w:b/>
          <w:bCs/>
          <w:color w:val="FF0000"/>
        </w:rPr>
        <w:t>Utilizzo economie da contratti di forniture e servizi o di concessione di contributi</w:t>
      </w:r>
      <w:r w:rsidR="00401595" w:rsidRPr="000C48C6">
        <w:rPr>
          <w:rFonts w:ascii="Bookman Old Style" w:hAnsi="Bookman Old Style" w:cs="TimesNewRomanPS-BoldItalicMT"/>
          <w:b/>
          <w:bCs/>
          <w:color w:val="FF0000"/>
        </w:rPr>
        <w:t xml:space="preserve"> </w:t>
      </w:r>
      <w:r w:rsidRPr="000C48C6">
        <w:rPr>
          <w:rFonts w:ascii="Bookman Old Style" w:hAnsi="Bookman Old Style" w:cs="TimesNewRomanPS-BoldItalicMT"/>
          <w:b/>
          <w:bCs/>
          <w:color w:val="FF0000"/>
        </w:rPr>
        <w:t>pubblici</w:t>
      </w:r>
      <w:r w:rsidR="00523292" w:rsidRPr="000C48C6">
        <w:rPr>
          <w:rFonts w:ascii="Bookman Old Style" w:hAnsi="Bookman Old Style" w:cs="TimesNewRomanPS-BoldItalicMT"/>
          <w:b/>
          <w:bCs/>
          <w:color w:val="FF0000"/>
        </w:rPr>
        <w:t xml:space="preserve"> (Art. 30)</w:t>
      </w:r>
    </w:p>
    <w:p w14:paraId="5A0782AE" w14:textId="234A7669" w:rsidR="002B40B3" w:rsidRPr="00B9258D" w:rsidRDefault="006C60CB" w:rsidP="00416929">
      <w:pPr>
        <w:autoSpaceDE w:val="0"/>
        <w:autoSpaceDN w:val="0"/>
        <w:adjustRightInd w:val="0"/>
        <w:spacing w:after="0" w:line="240" w:lineRule="auto"/>
        <w:jc w:val="both"/>
        <w:rPr>
          <w:rFonts w:ascii="Bookman Old Style" w:hAnsi="Bookman Old Style" w:cs="TimesNewRomanPSMT"/>
          <w:b/>
          <w:bCs/>
          <w:u w:val="single"/>
        </w:rPr>
      </w:pPr>
      <w:r w:rsidRPr="00B9258D">
        <w:rPr>
          <w:rFonts w:ascii="Bookman Old Style" w:hAnsi="Bookman Old Style" w:cs="TimesNewRomanPSMT"/>
        </w:rPr>
        <w:t>P</w:t>
      </w:r>
      <w:r w:rsidR="00B91424" w:rsidRPr="00B9258D">
        <w:rPr>
          <w:rFonts w:ascii="Bookman Old Style" w:hAnsi="Bookman Old Style" w:cs="TimesNewRomanPSMT"/>
        </w:rPr>
        <w:t>er fronteggiare gli</w:t>
      </w:r>
      <w:r w:rsidR="00416929" w:rsidRPr="00B9258D">
        <w:rPr>
          <w:rFonts w:ascii="Bookman Old Style" w:hAnsi="Bookman Old Style" w:cs="TimesNewRomanPSMT"/>
        </w:rPr>
        <w:t xml:space="preserve"> </w:t>
      </w:r>
      <w:r w:rsidR="00B91424" w:rsidRPr="00B9258D">
        <w:rPr>
          <w:rFonts w:ascii="Bookman Old Style" w:hAnsi="Bookman Old Style" w:cs="TimesNewRomanPSMT"/>
        </w:rPr>
        <w:t>aumenti eccezionali dei prezzi dei materiali da costruzione, nonché dei carburanti e</w:t>
      </w:r>
      <w:r w:rsidR="00416929" w:rsidRPr="00B9258D">
        <w:rPr>
          <w:rFonts w:ascii="Bookman Old Style" w:hAnsi="Bookman Old Style" w:cs="TimesNewRomanPSMT"/>
        </w:rPr>
        <w:t xml:space="preserve"> dei prodotti energetici, le risorse assegnate e non utilizzate per le procedure di affidamento di contratti pubblici, aventi ad oggetto lavori, servizi e forniture ovvero la concessione di contributi pubblici relativi agli interventi del PNRR</w:t>
      </w:r>
      <w:r w:rsidR="00F93673" w:rsidRPr="00B9258D">
        <w:rPr>
          <w:rFonts w:ascii="Bookman Old Style" w:hAnsi="Bookman Old Style" w:cs="TimesNewRomanPSMT"/>
        </w:rPr>
        <w:t xml:space="preserve">, </w:t>
      </w:r>
      <w:r w:rsidR="00416929" w:rsidRPr="00B9258D">
        <w:rPr>
          <w:rFonts w:ascii="Bookman Old Style" w:hAnsi="Bookman Old Style" w:cs="TimesNewRomanPSMT"/>
          <w:b/>
          <w:bCs/>
          <w:u w:val="single"/>
        </w:rPr>
        <w:t>possono essere utilizzate dalle Amministrazioni titolari nell’ambito dei medesimi interventi per far fronte ai maggiori oneri derivanti dall’incremento dei prezzi delle materie prime, dei materiali, delle attrezzature, delle lavorazioni, dei carburanti e dell’energia</w:t>
      </w:r>
      <w:r w:rsidR="004F6422" w:rsidRPr="00B9258D">
        <w:rPr>
          <w:rFonts w:ascii="Bookman Old Style" w:hAnsi="Bookman Old Style" w:cs="TimesNewRomanPSMT"/>
          <w:b/>
          <w:bCs/>
          <w:u w:val="single"/>
        </w:rPr>
        <w:t>.</w:t>
      </w:r>
    </w:p>
    <w:p w14:paraId="033B9409" w14:textId="1FAACD60" w:rsidR="004F6422" w:rsidRPr="00B9258D" w:rsidRDefault="004F6422" w:rsidP="00416929">
      <w:pPr>
        <w:autoSpaceDE w:val="0"/>
        <w:autoSpaceDN w:val="0"/>
        <w:adjustRightInd w:val="0"/>
        <w:spacing w:after="0" w:line="240" w:lineRule="auto"/>
        <w:jc w:val="both"/>
        <w:rPr>
          <w:rFonts w:ascii="Bookman Old Style" w:hAnsi="Bookman Old Style" w:cs="TimesNewRomanPSMT"/>
          <w:b/>
          <w:bCs/>
          <w:u w:val="single"/>
        </w:rPr>
      </w:pPr>
    </w:p>
    <w:p w14:paraId="580DE694" w14:textId="77777777" w:rsidR="004F6422" w:rsidRPr="00B9258D" w:rsidRDefault="004F6422" w:rsidP="00416929">
      <w:pPr>
        <w:autoSpaceDE w:val="0"/>
        <w:autoSpaceDN w:val="0"/>
        <w:adjustRightInd w:val="0"/>
        <w:spacing w:after="0" w:line="240" w:lineRule="auto"/>
        <w:jc w:val="both"/>
        <w:rPr>
          <w:rFonts w:ascii="Bookman Old Style" w:hAnsi="Bookman Old Style" w:cs="TimesNewRomanPSMT"/>
          <w:b/>
          <w:bCs/>
          <w:u w:val="single"/>
        </w:rPr>
      </w:pPr>
    </w:p>
    <w:p w14:paraId="7A8E6057" w14:textId="3D47248B" w:rsidR="004F6422" w:rsidRPr="000C48C6" w:rsidRDefault="004F6422" w:rsidP="00F132B6">
      <w:pPr>
        <w:pStyle w:val="Paragrafoelenco"/>
        <w:numPr>
          <w:ilvl w:val="0"/>
          <w:numId w:val="3"/>
        </w:numPr>
        <w:autoSpaceDE w:val="0"/>
        <w:autoSpaceDN w:val="0"/>
        <w:adjustRightInd w:val="0"/>
        <w:spacing w:after="0" w:line="240" w:lineRule="auto"/>
        <w:rPr>
          <w:rFonts w:ascii="Bookman Old Style" w:hAnsi="Bookman Old Style" w:cs="TimesNewRomanPS-BoldItalicMT"/>
          <w:b/>
          <w:bCs/>
          <w:color w:val="FF0000"/>
        </w:rPr>
      </w:pPr>
      <w:r w:rsidRPr="000C48C6">
        <w:rPr>
          <w:rFonts w:ascii="Bookman Old Style" w:hAnsi="Bookman Old Style" w:cs="TimesNewRomanPS-BoldItalicMT"/>
          <w:b/>
          <w:bCs/>
          <w:color w:val="FF0000"/>
        </w:rPr>
        <w:t>Misure per accelerare la realizzazione degli investimenti pubblici</w:t>
      </w:r>
      <w:r w:rsidR="00523292" w:rsidRPr="000C48C6">
        <w:rPr>
          <w:rFonts w:ascii="Bookman Old Style" w:hAnsi="Bookman Old Style" w:cs="TimesNewRomanPS-BoldItalicMT"/>
          <w:b/>
          <w:bCs/>
          <w:color w:val="FF0000"/>
        </w:rPr>
        <w:t xml:space="preserve"> (Art. 32)</w:t>
      </w:r>
    </w:p>
    <w:p w14:paraId="349938E7" w14:textId="01EA412D" w:rsidR="00E159B2" w:rsidRPr="00B9258D" w:rsidRDefault="00E55E3A" w:rsidP="004A0277">
      <w:p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cs="TimesNewRomanPSMT"/>
        </w:rPr>
        <w:t xml:space="preserve">Per </w:t>
      </w:r>
      <w:r w:rsidR="004F6422" w:rsidRPr="00B9258D">
        <w:rPr>
          <w:rFonts w:ascii="Bookman Old Style" w:hAnsi="Bookman Old Style" w:cs="TimesNewRomanPSMT"/>
        </w:rPr>
        <w:t xml:space="preserve">accelerare l’avvio degli investimenti </w:t>
      </w:r>
      <w:r w:rsidR="00216046" w:rsidRPr="00B9258D">
        <w:rPr>
          <w:rFonts w:ascii="Bookman Old Style" w:hAnsi="Bookman Old Style" w:cs="TimesNewRomanPSMT"/>
        </w:rPr>
        <w:t>pubblici (</w:t>
      </w:r>
      <w:r w:rsidR="00A25FE8" w:rsidRPr="00B9258D">
        <w:rPr>
          <w:rFonts w:ascii="Bookman Old Style" w:hAnsi="Bookman Old Style" w:cs="TimesNewRomanPSMT"/>
        </w:rPr>
        <w:t xml:space="preserve">art. 10 del dl </w:t>
      </w:r>
      <w:r w:rsidR="00E44000" w:rsidRPr="00B9258D">
        <w:rPr>
          <w:rFonts w:ascii="Bookman Old Style" w:hAnsi="Bookman Old Style" w:cs="TimesNewRomanPSMT"/>
        </w:rPr>
        <w:t xml:space="preserve">77/2021- </w:t>
      </w:r>
      <w:r w:rsidR="00A25FE8" w:rsidRPr="00B9258D">
        <w:rPr>
          <w:rFonts w:ascii="Bookman Old Style" w:hAnsi="Bookman Old Style" w:cs="TimesNewRomanPSMT"/>
        </w:rPr>
        <w:t>Governance</w:t>
      </w:r>
      <w:r w:rsidR="00216046" w:rsidRPr="00B9258D">
        <w:rPr>
          <w:rFonts w:ascii="Bookman Old Style" w:hAnsi="Bookman Old Style" w:cs="TimesNewRomanPSMT"/>
        </w:rPr>
        <w:t xml:space="preserve"> PNRR</w:t>
      </w:r>
      <w:r w:rsidR="00D63CB8" w:rsidRPr="00B9258D">
        <w:rPr>
          <w:rFonts w:ascii="Bookman Old Style" w:hAnsi="Bookman Old Style" w:cs="TimesNewRomanPSMT"/>
        </w:rPr>
        <w:t>)</w:t>
      </w:r>
      <w:r w:rsidR="00E44000" w:rsidRPr="00B9258D">
        <w:rPr>
          <w:rFonts w:ascii="Bookman Old Style" w:hAnsi="Bookman Old Style" w:cs="TimesNewRomanPSMT"/>
        </w:rPr>
        <w:t xml:space="preserve"> </w:t>
      </w:r>
      <w:r w:rsidR="004F6422" w:rsidRPr="00B9258D">
        <w:rPr>
          <w:rFonts w:ascii="Bookman Old Style" w:hAnsi="Bookman Old Style" w:cs="TimesNewRomanPSMT"/>
        </w:rPr>
        <w:t>mediante il ricorso a procedure aggregate e flessibili per l’affidamento dei</w:t>
      </w:r>
      <w:r w:rsidR="00D63CB8" w:rsidRPr="00B9258D">
        <w:rPr>
          <w:rFonts w:ascii="Bookman Old Style" w:hAnsi="Bookman Old Style" w:cs="TimesNewRomanPSMT"/>
        </w:rPr>
        <w:t xml:space="preserve"> </w:t>
      </w:r>
      <w:r w:rsidR="004F6422" w:rsidRPr="00B9258D">
        <w:rPr>
          <w:rFonts w:ascii="Bookman Old Style" w:hAnsi="Bookman Old Style" w:cs="TimesNewRomanPSMT"/>
        </w:rPr>
        <w:t xml:space="preserve">contratti pubblici, </w:t>
      </w:r>
      <w:r w:rsidR="00D63CB8" w:rsidRPr="00B9258D">
        <w:rPr>
          <w:rFonts w:ascii="Bookman Old Style" w:hAnsi="Bookman Old Style" w:cs="TimesNewRomanPSMT"/>
        </w:rPr>
        <w:t xml:space="preserve">Invitalia S.p.A. promuove, </w:t>
      </w:r>
      <w:r w:rsidR="000F52CC" w:rsidRPr="00B9258D">
        <w:rPr>
          <w:rFonts w:ascii="Bookman Old Style" w:hAnsi="Bookman Old Style" w:cs="TimesNewRomanPSMT"/>
        </w:rPr>
        <w:t>d’intesa con le amministrazioni interessate, la definizione</w:t>
      </w:r>
      <w:r w:rsidR="004A0277" w:rsidRPr="00B9258D">
        <w:rPr>
          <w:rFonts w:ascii="Bookman Old Style" w:hAnsi="Bookman Old Style" w:cs="TimesNewRomanPSMT"/>
        </w:rPr>
        <w:t xml:space="preserve"> </w:t>
      </w:r>
      <w:r w:rsidR="000F52CC" w:rsidRPr="00B9258D">
        <w:rPr>
          <w:rFonts w:ascii="Bookman Old Style" w:hAnsi="Bookman Old Style" w:cs="TimesNewRomanPSMT"/>
        </w:rPr>
        <w:t xml:space="preserve">e la conclusione di appositi accordi quadro, ai sensi dell’articolo 54 del </w:t>
      </w:r>
      <w:r w:rsidR="00B60C08" w:rsidRPr="00B9258D">
        <w:rPr>
          <w:rFonts w:ascii="Bookman Old Style" w:hAnsi="Bookman Old Style" w:cs="TimesNewRomanPSMT"/>
        </w:rPr>
        <w:t>Codice Appalti</w:t>
      </w:r>
      <w:r w:rsidR="000F52CC" w:rsidRPr="00B9258D">
        <w:rPr>
          <w:rFonts w:ascii="Bookman Old Style" w:hAnsi="Bookman Old Style" w:cs="TimesNewRomanPSMT"/>
        </w:rPr>
        <w:t xml:space="preserve">, per l’affidamento dei servizi tecnici e dei lavori. </w:t>
      </w:r>
    </w:p>
    <w:p w14:paraId="12D2FEB8" w14:textId="4533532F" w:rsidR="00DB656E" w:rsidRDefault="00DB656E" w:rsidP="004A0277">
      <w:pPr>
        <w:autoSpaceDE w:val="0"/>
        <w:autoSpaceDN w:val="0"/>
        <w:adjustRightInd w:val="0"/>
        <w:spacing w:after="0" w:line="240" w:lineRule="auto"/>
        <w:jc w:val="both"/>
        <w:rPr>
          <w:rFonts w:ascii="Bookman Old Style" w:hAnsi="Bookman Old Style" w:cs="TimesNewRomanPSMT"/>
        </w:rPr>
      </w:pPr>
    </w:p>
    <w:p w14:paraId="5D0B1BF2" w14:textId="77777777" w:rsidR="00D37DA4" w:rsidRPr="00B9258D" w:rsidRDefault="00D37DA4" w:rsidP="004A0277">
      <w:pPr>
        <w:autoSpaceDE w:val="0"/>
        <w:autoSpaceDN w:val="0"/>
        <w:adjustRightInd w:val="0"/>
        <w:spacing w:after="0" w:line="240" w:lineRule="auto"/>
        <w:jc w:val="both"/>
        <w:rPr>
          <w:rFonts w:ascii="Bookman Old Style" w:hAnsi="Bookman Old Style" w:cs="TimesNewRomanPSMT"/>
        </w:rPr>
      </w:pPr>
    </w:p>
    <w:p w14:paraId="22D66A10" w14:textId="55CA5126" w:rsidR="00DB656E" w:rsidRPr="000C48C6" w:rsidRDefault="00DB656E" w:rsidP="00F132B6">
      <w:pPr>
        <w:pStyle w:val="Paragrafoelenco"/>
        <w:numPr>
          <w:ilvl w:val="0"/>
          <w:numId w:val="3"/>
        </w:numPr>
        <w:autoSpaceDE w:val="0"/>
        <w:autoSpaceDN w:val="0"/>
        <w:adjustRightInd w:val="0"/>
        <w:spacing w:after="0" w:line="240" w:lineRule="auto"/>
        <w:rPr>
          <w:rFonts w:ascii="Bookman Old Style" w:hAnsi="Bookman Old Style" w:cs="TimesNewRomanPS-BoldItalicMT"/>
          <w:b/>
          <w:bCs/>
          <w:color w:val="FF0000"/>
        </w:rPr>
      </w:pPr>
      <w:r w:rsidRPr="000C48C6">
        <w:rPr>
          <w:rFonts w:ascii="Bookman Old Style" w:hAnsi="Bookman Old Style" w:cs="TimesNewRomanPS-BoldItalicMT"/>
          <w:b/>
          <w:bCs/>
          <w:color w:val="FF0000"/>
        </w:rPr>
        <w:lastRenderedPageBreak/>
        <w:t>Estensione e rifinanziamento della misura PNRR in favore delle farmacie rurali sussidiate</w:t>
      </w:r>
      <w:r w:rsidR="00523292" w:rsidRPr="000C48C6">
        <w:rPr>
          <w:rFonts w:ascii="Bookman Old Style" w:hAnsi="Bookman Old Style" w:cs="TimesNewRomanPS-BoldItalicMT"/>
          <w:b/>
          <w:bCs/>
          <w:color w:val="FF0000"/>
        </w:rPr>
        <w:t xml:space="preserve"> (Art. 34)</w:t>
      </w:r>
    </w:p>
    <w:p w14:paraId="4BD36243" w14:textId="6CDCD6E9" w:rsidR="00F84040" w:rsidRDefault="00256F2C" w:rsidP="000C1DDA">
      <w:pPr>
        <w:autoSpaceDE w:val="0"/>
        <w:autoSpaceDN w:val="0"/>
        <w:adjustRightInd w:val="0"/>
        <w:spacing w:after="0" w:line="240" w:lineRule="auto"/>
        <w:jc w:val="both"/>
        <w:rPr>
          <w:rFonts w:ascii="Bookman Old Style" w:hAnsi="Bookman Old Style" w:cs="TimesNewRomanPSMT"/>
        </w:rPr>
      </w:pPr>
      <w:r w:rsidRPr="00B9258D">
        <w:rPr>
          <w:rFonts w:ascii="Bookman Old Style" w:hAnsi="Bookman Old Style" w:cs="TimesNewRomanPSMT"/>
        </w:rPr>
        <w:t xml:space="preserve">Vengono stanziati </w:t>
      </w:r>
      <w:r w:rsidRPr="000C48C6">
        <w:rPr>
          <w:rFonts w:ascii="Bookman Old Style" w:hAnsi="Bookman Old Style" w:cs="TimesNewRomanPSMT"/>
          <w:b/>
          <w:bCs/>
        </w:rPr>
        <w:t>28 milioni di euro per l’anno 2022</w:t>
      </w:r>
      <w:r w:rsidRPr="00B9258D">
        <w:rPr>
          <w:rFonts w:ascii="Bookman Old Style" w:hAnsi="Bookman Old Style" w:cs="TimesNewRomanPSMT"/>
        </w:rPr>
        <w:t xml:space="preserve"> per </w:t>
      </w:r>
      <w:r w:rsidR="00F84040" w:rsidRPr="00B9258D">
        <w:rPr>
          <w:rFonts w:ascii="Bookman Old Style" w:hAnsi="Bookman Old Style" w:cs="TimesNewRomanPSMT"/>
        </w:rPr>
        <w:t>completare il programma di consolidamento delle farmacie rurali</w:t>
      </w:r>
      <w:r w:rsidR="00E763F8" w:rsidRPr="00B9258D">
        <w:rPr>
          <w:rFonts w:ascii="Bookman Old Style" w:hAnsi="Bookman Old Style" w:cs="TimesNewRomanPSMT"/>
        </w:rPr>
        <w:t xml:space="preserve"> sussidiate. Tale finanziamento</w:t>
      </w:r>
      <w:r w:rsidR="00F84040" w:rsidRPr="00B9258D">
        <w:rPr>
          <w:rFonts w:ascii="Bookman Old Style" w:hAnsi="Bookman Old Style" w:cs="TimesNewRomanPS-ItalicMT"/>
          <w:i/>
          <w:iCs/>
        </w:rPr>
        <w:t xml:space="preserve"> </w:t>
      </w:r>
      <w:r w:rsidR="00F84040" w:rsidRPr="00B9258D">
        <w:rPr>
          <w:rFonts w:ascii="Bookman Old Style" w:hAnsi="Bookman Old Style" w:cs="TimesNewRomanPSMT"/>
        </w:rPr>
        <w:t>può essere concesso anche</w:t>
      </w:r>
      <w:r w:rsidR="00E763F8" w:rsidRPr="00B9258D">
        <w:rPr>
          <w:rFonts w:ascii="Bookman Old Style" w:hAnsi="Bookman Old Style" w:cs="TimesNewRomanPSMT"/>
        </w:rPr>
        <w:t xml:space="preserve"> </w:t>
      </w:r>
      <w:r w:rsidR="00F84040" w:rsidRPr="00B9258D">
        <w:rPr>
          <w:rFonts w:ascii="Bookman Old Style" w:hAnsi="Bookman Old Style" w:cs="TimesNewRomanPSMT"/>
        </w:rPr>
        <w:t>alle farmacie rurali sussidiate che operano in Comuni, centri abitati o frazioni con</w:t>
      </w:r>
      <w:r w:rsidR="000C1DDA" w:rsidRPr="00B9258D">
        <w:rPr>
          <w:rFonts w:ascii="Bookman Old Style" w:hAnsi="Bookman Old Style" w:cs="TimesNewRomanPSMT"/>
        </w:rPr>
        <w:t xml:space="preserve"> </w:t>
      </w:r>
      <w:r w:rsidR="00F84040" w:rsidRPr="00B9258D">
        <w:rPr>
          <w:rFonts w:ascii="Bookman Old Style" w:hAnsi="Bookman Old Style" w:cs="TimesNewRomanPSMT"/>
        </w:rPr>
        <w:t>popolazione non superiore a 3.000 abitanti, collocati al di fuori del perimetro delle</w:t>
      </w:r>
      <w:r w:rsidR="000C1DDA" w:rsidRPr="00B9258D">
        <w:rPr>
          <w:rFonts w:ascii="Bookman Old Style" w:hAnsi="Bookman Old Style" w:cs="TimesNewRomanPSMT"/>
        </w:rPr>
        <w:t xml:space="preserve"> </w:t>
      </w:r>
      <w:r w:rsidR="00F84040" w:rsidRPr="00B9258D">
        <w:rPr>
          <w:rFonts w:ascii="Bookman Old Style" w:hAnsi="Bookman Old Style" w:cs="TimesNewRomanPSMT"/>
        </w:rPr>
        <w:t>aree interne, come definito dalla mappatura 2021-2027</w:t>
      </w:r>
      <w:r w:rsidR="000C1DDA" w:rsidRPr="00B9258D">
        <w:rPr>
          <w:rFonts w:ascii="Bookman Old Style" w:hAnsi="Bookman Old Style" w:cs="TimesNewRomanPSMT"/>
        </w:rPr>
        <w:t>.</w:t>
      </w:r>
    </w:p>
    <w:p w14:paraId="6F2D9A62" w14:textId="4388979D" w:rsidR="00F01630" w:rsidRDefault="00F01630" w:rsidP="000C1DDA">
      <w:pPr>
        <w:autoSpaceDE w:val="0"/>
        <w:autoSpaceDN w:val="0"/>
        <w:adjustRightInd w:val="0"/>
        <w:spacing w:after="0" w:line="240" w:lineRule="auto"/>
        <w:jc w:val="both"/>
        <w:rPr>
          <w:rFonts w:ascii="Bookman Old Style" w:hAnsi="Bookman Old Style" w:cs="TimesNewRomanPSMT"/>
        </w:rPr>
      </w:pPr>
    </w:p>
    <w:p w14:paraId="6A2D3F2B" w14:textId="77777777" w:rsidR="00F01630" w:rsidRDefault="00F01630" w:rsidP="000C1DDA">
      <w:pPr>
        <w:autoSpaceDE w:val="0"/>
        <w:autoSpaceDN w:val="0"/>
        <w:adjustRightInd w:val="0"/>
        <w:spacing w:after="0" w:line="240" w:lineRule="auto"/>
        <w:jc w:val="both"/>
        <w:rPr>
          <w:rFonts w:ascii="Bookman Old Style" w:hAnsi="Bookman Old Style" w:cs="TimesNewRomanPSMT"/>
        </w:rPr>
      </w:pPr>
    </w:p>
    <w:p w14:paraId="0E391308" w14:textId="190AB9F9" w:rsidR="00783B96" w:rsidRPr="000C48C6" w:rsidRDefault="00B07456" w:rsidP="00510E34">
      <w:pPr>
        <w:pStyle w:val="Paragrafoelenco"/>
        <w:numPr>
          <w:ilvl w:val="0"/>
          <w:numId w:val="8"/>
        </w:numPr>
        <w:autoSpaceDE w:val="0"/>
        <w:autoSpaceDN w:val="0"/>
        <w:adjustRightInd w:val="0"/>
        <w:spacing w:after="0" w:line="240" w:lineRule="auto"/>
        <w:rPr>
          <w:rFonts w:ascii="Bookman Old Style" w:hAnsi="Bookman Old Style" w:cs="TimesNewRomanPS-BoldItalicMT"/>
          <w:b/>
          <w:bCs/>
          <w:color w:val="FF0000"/>
        </w:rPr>
      </w:pPr>
      <w:r w:rsidRPr="000C48C6">
        <w:rPr>
          <w:rFonts w:ascii="Bookman Old Style" w:hAnsi="Bookman Old Style" w:cs="TimesNewRomanPS-BoldItalicMT"/>
          <w:b/>
          <w:bCs/>
          <w:color w:val="FF0000"/>
        </w:rPr>
        <w:t xml:space="preserve">Proroghe </w:t>
      </w:r>
      <w:r w:rsidR="007224BE" w:rsidRPr="000C48C6">
        <w:rPr>
          <w:rFonts w:ascii="Bookman Old Style" w:hAnsi="Bookman Old Style" w:cs="TimesNewRomanPS-BoldItalicMT"/>
          <w:b/>
          <w:bCs/>
          <w:color w:val="FF0000"/>
        </w:rPr>
        <w:t xml:space="preserve">misure semplificazione </w:t>
      </w:r>
      <w:r w:rsidRPr="000C48C6">
        <w:rPr>
          <w:rFonts w:ascii="Bookman Old Style" w:hAnsi="Bookman Old Style" w:cs="TimesNewRomanPS-BoldItalicMT"/>
          <w:b/>
          <w:bCs/>
          <w:color w:val="FF0000"/>
        </w:rPr>
        <w:t>in materia di canone unico patrimoniale per occupazione di suolo pubblico (Art. 40)</w:t>
      </w:r>
    </w:p>
    <w:p w14:paraId="7A93123B" w14:textId="7E14EE5D" w:rsidR="00651DC7" w:rsidRPr="00B9258D" w:rsidRDefault="00212FDF" w:rsidP="00783B96">
      <w:pPr>
        <w:autoSpaceDE w:val="0"/>
        <w:autoSpaceDN w:val="0"/>
        <w:adjustRightInd w:val="0"/>
        <w:spacing w:after="0" w:line="240" w:lineRule="auto"/>
        <w:jc w:val="both"/>
        <w:rPr>
          <w:rFonts w:ascii="Bookman Old Style" w:hAnsi="Bookman Old Style" w:cs="TimesNewRomanPS-BoldItalicMT"/>
          <w:b/>
          <w:bCs/>
        </w:rPr>
      </w:pPr>
      <w:r>
        <w:rPr>
          <w:rFonts w:ascii="Bookman Old Style" w:hAnsi="Bookman Old Style"/>
          <w:color w:val="000000"/>
        </w:rPr>
        <w:t xml:space="preserve">Sono </w:t>
      </w:r>
      <w:r w:rsidRPr="0038533B">
        <w:rPr>
          <w:rFonts w:ascii="Bookman Old Style" w:hAnsi="Bookman Old Style"/>
          <w:b/>
          <w:bCs/>
          <w:color w:val="000000"/>
        </w:rPr>
        <w:t>prorogate al 31 dicembre 2022 l</w:t>
      </w:r>
      <w:r w:rsidR="00651DC7" w:rsidRPr="0038533B">
        <w:rPr>
          <w:rFonts w:ascii="Bookman Old Style" w:hAnsi="Bookman Old Style"/>
          <w:b/>
          <w:bCs/>
          <w:color w:val="000000"/>
        </w:rPr>
        <w:t>e misure di semplificazione</w:t>
      </w:r>
      <w:r>
        <w:rPr>
          <w:rFonts w:ascii="Bookman Old Style" w:hAnsi="Bookman Old Style"/>
          <w:color w:val="000000"/>
        </w:rPr>
        <w:t xml:space="preserve"> </w:t>
      </w:r>
      <w:r w:rsidR="00651DC7" w:rsidRPr="0052590B">
        <w:rPr>
          <w:rFonts w:ascii="Bookman Old Style" w:hAnsi="Bookman Old Style"/>
          <w:color w:val="000000"/>
        </w:rPr>
        <w:t>per la posa in opera temporanea su vie, piazze, strade e altri spazi aperti di interesse culturale o paesaggistico, da parte dei titolari di pubblici esercizi, di strutture amovibili quali dehors, elementi di arredo urbano, attrezzature, pedane, tavolini, sedute e ombrelloni</w:t>
      </w:r>
      <w:r w:rsidR="000E1533">
        <w:rPr>
          <w:rFonts w:ascii="Bookman Old Style" w:hAnsi="Bookman Old Style"/>
          <w:color w:val="000000"/>
        </w:rPr>
        <w:t xml:space="preserve">. La posa in </w:t>
      </w:r>
      <w:proofErr w:type="gramStart"/>
      <w:r w:rsidR="000E1533">
        <w:rPr>
          <w:rFonts w:ascii="Bookman Old Style" w:hAnsi="Bookman Old Style"/>
          <w:color w:val="000000"/>
        </w:rPr>
        <w:t xml:space="preserve">opera </w:t>
      </w:r>
      <w:r w:rsidR="0093252E">
        <w:rPr>
          <w:rFonts w:ascii="Bookman Old Style" w:hAnsi="Bookman Old Style"/>
          <w:color w:val="000000"/>
        </w:rPr>
        <w:t xml:space="preserve"> </w:t>
      </w:r>
      <w:r w:rsidR="00651DC7" w:rsidRPr="0052590B">
        <w:rPr>
          <w:rFonts w:ascii="Bookman Old Style" w:hAnsi="Bookman Old Style"/>
          <w:color w:val="000000"/>
        </w:rPr>
        <w:t>non</w:t>
      </w:r>
      <w:proofErr w:type="gramEnd"/>
      <w:r w:rsidR="00651DC7" w:rsidRPr="0052590B">
        <w:rPr>
          <w:rFonts w:ascii="Bookman Old Style" w:hAnsi="Bookman Old Style"/>
          <w:color w:val="000000"/>
        </w:rPr>
        <w:t xml:space="preserve"> è subordinata alle autorizzazioni di cui agli artt. 21 e 146 del Codice dei beni culturali di cui al </w:t>
      </w:r>
      <w:proofErr w:type="spellStart"/>
      <w:r w:rsidR="00651DC7" w:rsidRPr="0052590B">
        <w:rPr>
          <w:rFonts w:ascii="Bookman Old Style" w:hAnsi="Bookman Old Style"/>
          <w:color w:val="000000"/>
        </w:rPr>
        <w:t>D.lgs</w:t>
      </w:r>
      <w:proofErr w:type="spellEnd"/>
      <w:r w:rsidR="00651DC7" w:rsidRPr="0052590B">
        <w:rPr>
          <w:rFonts w:ascii="Bookman Old Style" w:hAnsi="Bookman Old Style"/>
          <w:color w:val="000000"/>
        </w:rPr>
        <w:t xml:space="preserve"> n. 42/2004 ed è disapplicato il limite temporale di cui all'articolo 6, c. 1, lettera e-bis), del DPR n. 380/2001</w:t>
      </w:r>
    </w:p>
    <w:sectPr w:rsidR="00651DC7" w:rsidRPr="00B9258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21B" w14:textId="77777777" w:rsidR="00971B6F" w:rsidRDefault="00971B6F" w:rsidP="00E13844">
      <w:pPr>
        <w:spacing w:after="0" w:line="240" w:lineRule="auto"/>
      </w:pPr>
      <w:r>
        <w:separator/>
      </w:r>
    </w:p>
  </w:endnote>
  <w:endnote w:type="continuationSeparator" w:id="0">
    <w:p w14:paraId="7534B1DF" w14:textId="77777777" w:rsidR="00971B6F" w:rsidRDefault="00971B6F" w:rsidP="00E1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49B1" w14:textId="77777777" w:rsidR="00E13844" w:rsidRDefault="00E138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22310"/>
      <w:docPartObj>
        <w:docPartGallery w:val="Page Numbers (Bottom of Page)"/>
        <w:docPartUnique/>
      </w:docPartObj>
    </w:sdtPr>
    <w:sdtEndPr/>
    <w:sdtContent>
      <w:p w14:paraId="78730B53" w14:textId="4AD07011" w:rsidR="00E13844" w:rsidRDefault="00E13844">
        <w:pPr>
          <w:pStyle w:val="Pidipagina"/>
          <w:jc w:val="center"/>
        </w:pPr>
        <w:r>
          <w:fldChar w:fldCharType="begin"/>
        </w:r>
        <w:r>
          <w:instrText>PAGE   \* MERGEFORMAT</w:instrText>
        </w:r>
        <w:r>
          <w:fldChar w:fldCharType="separate"/>
        </w:r>
        <w:r>
          <w:t>2</w:t>
        </w:r>
        <w:r>
          <w:fldChar w:fldCharType="end"/>
        </w:r>
      </w:p>
    </w:sdtContent>
  </w:sdt>
  <w:p w14:paraId="6FAEE71E" w14:textId="77777777" w:rsidR="00E13844" w:rsidRDefault="00E138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739D" w14:textId="77777777" w:rsidR="00E13844" w:rsidRDefault="00E138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876A" w14:textId="77777777" w:rsidR="00971B6F" w:rsidRDefault="00971B6F" w:rsidP="00E13844">
      <w:pPr>
        <w:spacing w:after="0" w:line="240" w:lineRule="auto"/>
      </w:pPr>
      <w:r>
        <w:separator/>
      </w:r>
    </w:p>
  </w:footnote>
  <w:footnote w:type="continuationSeparator" w:id="0">
    <w:p w14:paraId="673E2119" w14:textId="77777777" w:rsidR="00971B6F" w:rsidRDefault="00971B6F" w:rsidP="00E1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EEC0" w14:textId="77777777" w:rsidR="00E13844" w:rsidRDefault="00E138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D10" w14:textId="77777777" w:rsidR="00E13844" w:rsidRDefault="00E138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68F4" w14:textId="77777777" w:rsidR="00E13844" w:rsidRDefault="00E138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F1A"/>
    <w:multiLevelType w:val="hybridMultilevel"/>
    <w:tmpl w:val="355C75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26B7C"/>
    <w:multiLevelType w:val="hybridMultilevel"/>
    <w:tmpl w:val="5C20A7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1035E"/>
    <w:multiLevelType w:val="hybridMultilevel"/>
    <w:tmpl w:val="12F25006"/>
    <w:lvl w:ilvl="0" w:tplc="7B2A61B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E54BAC"/>
    <w:multiLevelType w:val="hybridMultilevel"/>
    <w:tmpl w:val="AA6440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90555B"/>
    <w:multiLevelType w:val="hybridMultilevel"/>
    <w:tmpl w:val="3014FC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8A4533"/>
    <w:multiLevelType w:val="hybridMultilevel"/>
    <w:tmpl w:val="949EE9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6349D"/>
    <w:multiLevelType w:val="hybridMultilevel"/>
    <w:tmpl w:val="44B41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763F3F"/>
    <w:multiLevelType w:val="hybridMultilevel"/>
    <w:tmpl w:val="1BEA6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AF1608"/>
    <w:multiLevelType w:val="hybridMultilevel"/>
    <w:tmpl w:val="E354BE98"/>
    <w:lvl w:ilvl="0" w:tplc="5B0C6BB8">
      <w:start w:val="9"/>
      <w:numFmt w:val="bullet"/>
      <w:lvlText w:val="-"/>
      <w:lvlJc w:val="left"/>
      <w:pPr>
        <w:ind w:left="1068" w:hanging="360"/>
      </w:pPr>
      <w:rPr>
        <w:rFonts w:ascii="Times" w:eastAsiaTheme="minorHAnsi" w:hAnsi="Times" w:cs="Time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4001F82"/>
    <w:multiLevelType w:val="hybridMultilevel"/>
    <w:tmpl w:val="8C16CD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071805">
    <w:abstractNumId w:val="1"/>
  </w:num>
  <w:num w:numId="2" w16cid:durableId="1664384351">
    <w:abstractNumId w:val="0"/>
  </w:num>
  <w:num w:numId="3" w16cid:durableId="1531645874">
    <w:abstractNumId w:val="5"/>
  </w:num>
  <w:num w:numId="4" w16cid:durableId="1951812306">
    <w:abstractNumId w:val="8"/>
  </w:num>
  <w:num w:numId="5" w16cid:durableId="1738015172">
    <w:abstractNumId w:val="9"/>
  </w:num>
  <w:num w:numId="6" w16cid:durableId="258371947">
    <w:abstractNumId w:val="6"/>
  </w:num>
  <w:num w:numId="7" w16cid:durableId="1478454410">
    <w:abstractNumId w:val="2"/>
  </w:num>
  <w:num w:numId="8" w16cid:durableId="1117215381">
    <w:abstractNumId w:val="7"/>
  </w:num>
  <w:num w:numId="9" w16cid:durableId="1288318606">
    <w:abstractNumId w:val="3"/>
  </w:num>
  <w:num w:numId="10" w16cid:durableId="312951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82"/>
    <w:rsid w:val="0003224B"/>
    <w:rsid w:val="000329B4"/>
    <w:rsid w:val="0003357F"/>
    <w:rsid w:val="00041148"/>
    <w:rsid w:val="000469AB"/>
    <w:rsid w:val="000606F7"/>
    <w:rsid w:val="00061779"/>
    <w:rsid w:val="0008065D"/>
    <w:rsid w:val="0008082E"/>
    <w:rsid w:val="000860D5"/>
    <w:rsid w:val="00087E31"/>
    <w:rsid w:val="000C1DDA"/>
    <w:rsid w:val="000C48C6"/>
    <w:rsid w:val="000E1533"/>
    <w:rsid w:val="000F52CC"/>
    <w:rsid w:val="00101406"/>
    <w:rsid w:val="001046BF"/>
    <w:rsid w:val="00151DC4"/>
    <w:rsid w:val="0015229C"/>
    <w:rsid w:val="001533C9"/>
    <w:rsid w:val="00155CBD"/>
    <w:rsid w:val="0019057C"/>
    <w:rsid w:val="00195CBE"/>
    <w:rsid w:val="001D1302"/>
    <w:rsid w:val="00205438"/>
    <w:rsid w:val="00212FDF"/>
    <w:rsid w:val="00216046"/>
    <w:rsid w:val="00245154"/>
    <w:rsid w:val="00256F2C"/>
    <w:rsid w:val="00263233"/>
    <w:rsid w:val="002B40B3"/>
    <w:rsid w:val="002D125E"/>
    <w:rsid w:val="00336974"/>
    <w:rsid w:val="0036670E"/>
    <w:rsid w:val="003676B4"/>
    <w:rsid w:val="00372EB5"/>
    <w:rsid w:val="00382877"/>
    <w:rsid w:val="0038533B"/>
    <w:rsid w:val="00394FEE"/>
    <w:rsid w:val="003962DA"/>
    <w:rsid w:val="003C4641"/>
    <w:rsid w:val="003F3658"/>
    <w:rsid w:val="00401595"/>
    <w:rsid w:val="004148AC"/>
    <w:rsid w:val="00416929"/>
    <w:rsid w:val="00424691"/>
    <w:rsid w:val="004250E8"/>
    <w:rsid w:val="004421A9"/>
    <w:rsid w:val="00443892"/>
    <w:rsid w:val="00482A1C"/>
    <w:rsid w:val="004A0277"/>
    <w:rsid w:val="004B2FCE"/>
    <w:rsid w:val="004F6422"/>
    <w:rsid w:val="00510E34"/>
    <w:rsid w:val="005125A7"/>
    <w:rsid w:val="00521360"/>
    <w:rsid w:val="00523292"/>
    <w:rsid w:val="005251A6"/>
    <w:rsid w:val="005309D8"/>
    <w:rsid w:val="00532D74"/>
    <w:rsid w:val="00562006"/>
    <w:rsid w:val="00584AA2"/>
    <w:rsid w:val="00596AB4"/>
    <w:rsid w:val="005E6482"/>
    <w:rsid w:val="00604084"/>
    <w:rsid w:val="00613FEA"/>
    <w:rsid w:val="00624D93"/>
    <w:rsid w:val="00635EEB"/>
    <w:rsid w:val="00651DC7"/>
    <w:rsid w:val="00653A5B"/>
    <w:rsid w:val="00653DF7"/>
    <w:rsid w:val="00662F4C"/>
    <w:rsid w:val="006721D1"/>
    <w:rsid w:val="00687E1F"/>
    <w:rsid w:val="00693249"/>
    <w:rsid w:val="006A567F"/>
    <w:rsid w:val="006C60CB"/>
    <w:rsid w:val="006D508D"/>
    <w:rsid w:val="006E4B42"/>
    <w:rsid w:val="00700670"/>
    <w:rsid w:val="00704AB8"/>
    <w:rsid w:val="007224BE"/>
    <w:rsid w:val="007265C5"/>
    <w:rsid w:val="0073177E"/>
    <w:rsid w:val="0073345C"/>
    <w:rsid w:val="00750196"/>
    <w:rsid w:val="007539C8"/>
    <w:rsid w:val="007618E7"/>
    <w:rsid w:val="007721B2"/>
    <w:rsid w:val="007739A4"/>
    <w:rsid w:val="00783B96"/>
    <w:rsid w:val="00794C22"/>
    <w:rsid w:val="007B6548"/>
    <w:rsid w:val="007C21BE"/>
    <w:rsid w:val="007F6FA8"/>
    <w:rsid w:val="00801CA4"/>
    <w:rsid w:val="00822B3B"/>
    <w:rsid w:val="008352E3"/>
    <w:rsid w:val="00835717"/>
    <w:rsid w:val="00841E4B"/>
    <w:rsid w:val="00844630"/>
    <w:rsid w:val="00861512"/>
    <w:rsid w:val="0087427A"/>
    <w:rsid w:val="008842C1"/>
    <w:rsid w:val="008B2AB2"/>
    <w:rsid w:val="008C766F"/>
    <w:rsid w:val="008E2880"/>
    <w:rsid w:val="00931AB4"/>
    <w:rsid w:val="0093252E"/>
    <w:rsid w:val="00950AAA"/>
    <w:rsid w:val="0095247F"/>
    <w:rsid w:val="00957087"/>
    <w:rsid w:val="00971B6F"/>
    <w:rsid w:val="00972E8B"/>
    <w:rsid w:val="00982010"/>
    <w:rsid w:val="009843CF"/>
    <w:rsid w:val="009A58F2"/>
    <w:rsid w:val="009B5268"/>
    <w:rsid w:val="009C6770"/>
    <w:rsid w:val="009D0074"/>
    <w:rsid w:val="009D2548"/>
    <w:rsid w:val="00A13F69"/>
    <w:rsid w:val="00A16FDA"/>
    <w:rsid w:val="00A25FE8"/>
    <w:rsid w:val="00A43D68"/>
    <w:rsid w:val="00A4489E"/>
    <w:rsid w:val="00A747F1"/>
    <w:rsid w:val="00A84D2A"/>
    <w:rsid w:val="00AD14AD"/>
    <w:rsid w:val="00AD3C7D"/>
    <w:rsid w:val="00AF4ABF"/>
    <w:rsid w:val="00B07456"/>
    <w:rsid w:val="00B1073E"/>
    <w:rsid w:val="00B308B3"/>
    <w:rsid w:val="00B37056"/>
    <w:rsid w:val="00B5109D"/>
    <w:rsid w:val="00B52386"/>
    <w:rsid w:val="00B52558"/>
    <w:rsid w:val="00B60C08"/>
    <w:rsid w:val="00B63841"/>
    <w:rsid w:val="00B70822"/>
    <w:rsid w:val="00B72F29"/>
    <w:rsid w:val="00B73A3A"/>
    <w:rsid w:val="00B91424"/>
    <w:rsid w:val="00B9258D"/>
    <w:rsid w:val="00BB6988"/>
    <w:rsid w:val="00C14267"/>
    <w:rsid w:val="00C52F68"/>
    <w:rsid w:val="00C8441D"/>
    <w:rsid w:val="00C95313"/>
    <w:rsid w:val="00C96886"/>
    <w:rsid w:val="00CA4B2E"/>
    <w:rsid w:val="00CA552C"/>
    <w:rsid w:val="00CB0B32"/>
    <w:rsid w:val="00CB206C"/>
    <w:rsid w:val="00CC2DB5"/>
    <w:rsid w:val="00CD6479"/>
    <w:rsid w:val="00CE12FF"/>
    <w:rsid w:val="00CE20F8"/>
    <w:rsid w:val="00CF25CF"/>
    <w:rsid w:val="00D13D19"/>
    <w:rsid w:val="00D37DA4"/>
    <w:rsid w:val="00D44DE0"/>
    <w:rsid w:val="00D50A94"/>
    <w:rsid w:val="00D5746B"/>
    <w:rsid w:val="00D63CB8"/>
    <w:rsid w:val="00D71E30"/>
    <w:rsid w:val="00D81141"/>
    <w:rsid w:val="00D94B65"/>
    <w:rsid w:val="00D97C17"/>
    <w:rsid w:val="00DA6C6B"/>
    <w:rsid w:val="00DB461B"/>
    <w:rsid w:val="00DB656E"/>
    <w:rsid w:val="00DD1549"/>
    <w:rsid w:val="00DD477F"/>
    <w:rsid w:val="00E07D16"/>
    <w:rsid w:val="00E07DC7"/>
    <w:rsid w:val="00E13844"/>
    <w:rsid w:val="00E159B2"/>
    <w:rsid w:val="00E44000"/>
    <w:rsid w:val="00E55E3A"/>
    <w:rsid w:val="00E56FA5"/>
    <w:rsid w:val="00E63F42"/>
    <w:rsid w:val="00E763F8"/>
    <w:rsid w:val="00E84518"/>
    <w:rsid w:val="00EA1BAD"/>
    <w:rsid w:val="00EC1031"/>
    <w:rsid w:val="00EC15CE"/>
    <w:rsid w:val="00ED6205"/>
    <w:rsid w:val="00EF4A1A"/>
    <w:rsid w:val="00F01630"/>
    <w:rsid w:val="00F0374C"/>
    <w:rsid w:val="00F12B29"/>
    <w:rsid w:val="00F132B6"/>
    <w:rsid w:val="00F36DBF"/>
    <w:rsid w:val="00F40A16"/>
    <w:rsid w:val="00F436E7"/>
    <w:rsid w:val="00F5285B"/>
    <w:rsid w:val="00F57D22"/>
    <w:rsid w:val="00F641F4"/>
    <w:rsid w:val="00F84040"/>
    <w:rsid w:val="00F84586"/>
    <w:rsid w:val="00F85883"/>
    <w:rsid w:val="00F93673"/>
    <w:rsid w:val="00FA3DB3"/>
    <w:rsid w:val="00FF4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932C"/>
  <w15:chartTrackingRefBased/>
  <w15:docId w15:val="{4E44194D-0CF7-4B82-810D-7F35C98B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2010"/>
    <w:pPr>
      <w:ind w:left="720"/>
      <w:contextualSpacing/>
    </w:pPr>
  </w:style>
  <w:style w:type="paragraph" w:styleId="Intestazione">
    <w:name w:val="header"/>
    <w:basedOn w:val="Normale"/>
    <w:link w:val="IntestazioneCarattere"/>
    <w:uiPriority w:val="99"/>
    <w:unhideWhenUsed/>
    <w:rsid w:val="00E13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844"/>
  </w:style>
  <w:style w:type="paragraph" w:styleId="Pidipagina">
    <w:name w:val="footer"/>
    <w:basedOn w:val="Normale"/>
    <w:link w:val="PidipaginaCarattere"/>
    <w:uiPriority w:val="99"/>
    <w:unhideWhenUsed/>
    <w:rsid w:val="00E138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844"/>
  </w:style>
  <w:style w:type="paragraph" w:customStyle="1" w:styleId="Default">
    <w:name w:val="Default"/>
    <w:rsid w:val="000808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797">
      <w:bodyDiv w:val="1"/>
      <w:marLeft w:val="0"/>
      <w:marRight w:val="0"/>
      <w:marTop w:val="0"/>
      <w:marBottom w:val="0"/>
      <w:divBdr>
        <w:top w:val="none" w:sz="0" w:space="0" w:color="auto"/>
        <w:left w:val="none" w:sz="0" w:space="0" w:color="auto"/>
        <w:bottom w:val="none" w:sz="0" w:space="0" w:color="auto"/>
        <w:right w:val="none" w:sz="0" w:space="0" w:color="auto"/>
      </w:divBdr>
      <w:divsChild>
        <w:div w:id="393822949">
          <w:marLeft w:val="0"/>
          <w:marRight w:val="0"/>
          <w:marTop w:val="0"/>
          <w:marBottom w:val="120"/>
          <w:divBdr>
            <w:top w:val="none" w:sz="0" w:space="0" w:color="auto"/>
            <w:left w:val="none" w:sz="0" w:space="0" w:color="auto"/>
            <w:bottom w:val="none" w:sz="0" w:space="0" w:color="auto"/>
            <w:right w:val="none" w:sz="0" w:space="0" w:color="auto"/>
          </w:divBdr>
        </w:div>
        <w:div w:id="1492871689">
          <w:marLeft w:val="0"/>
          <w:marRight w:val="0"/>
          <w:marTop w:val="0"/>
          <w:marBottom w:val="120"/>
          <w:divBdr>
            <w:top w:val="none" w:sz="0" w:space="0" w:color="auto"/>
            <w:left w:val="none" w:sz="0" w:space="0" w:color="auto"/>
            <w:bottom w:val="none" w:sz="0" w:space="0" w:color="auto"/>
            <w:right w:val="none" w:sz="0" w:space="0" w:color="auto"/>
          </w:divBdr>
        </w:div>
      </w:divsChild>
    </w:div>
    <w:div w:id="961182161">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32484098">
      <w:bodyDiv w:val="1"/>
      <w:marLeft w:val="0"/>
      <w:marRight w:val="0"/>
      <w:marTop w:val="0"/>
      <w:marBottom w:val="0"/>
      <w:divBdr>
        <w:top w:val="none" w:sz="0" w:space="0" w:color="auto"/>
        <w:left w:val="none" w:sz="0" w:space="0" w:color="auto"/>
        <w:bottom w:val="none" w:sz="0" w:space="0" w:color="auto"/>
        <w:right w:val="none" w:sz="0" w:space="0" w:color="auto"/>
      </w:divBdr>
    </w:div>
    <w:div w:id="1210188515">
      <w:bodyDiv w:val="1"/>
      <w:marLeft w:val="0"/>
      <w:marRight w:val="0"/>
      <w:marTop w:val="0"/>
      <w:marBottom w:val="0"/>
      <w:divBdr>
        <w:top w:val="none" w:sz="0" w:space="0" w:color="auto"/>
        <w:left w:val="none" w:sz="0" w:space="0" w:color="auto"/>
        <w:bottom w:val="none" w:sz="0" w:space="0" w:color="auto"/>
        <w:right w:val="none" w:sz="0" w:space="0" w:color="auto"/>
      </w:divBdr>
      <w:divsChild>
        <w:div w:id="1527713072">
          <w:marLeft w:val="0"/>
          <w:marRight w:val="0"/>
          <w:marTop w:val="0"/>
          <w:marBottom w:val="120"/>
          <w:divBdr>
            <w:top w:val="none" w:sz="0" w:space="0" w:color="auto"/>
            <w:left w:val="none" w:sz="0" w:space="0" w:color="auto"/>
            <w:bottom w:val="none" w:sz="0" w:space="0" w:color="auto"/>
            <w:right w:val="none" w:sz="0" w:space="0" w:color="auto"/>
          </w:divBdr>
        </w:div>
        <w:div w:id="1674718767">
          <w:marLeft w:val="0"/>
          <w:marRight w:val="0"/>
          <w:marTop w:val="0"/>
          <w:marBottom w:val="120"/>
          <w:divBdr>
            <w:top w:val="none" w:sz="0" w:space="0" w:color="auto"/>
            <w:left w:val="none" w:sz="0" w:space="0" w:color="auto"/>
            <w:bottom w:val="none" w:sz="0" w:space="0" w:color="auto"/>
            <w:right w:val="none" w:sz="0" w:space="0" w:color="auto"/>
          </w:divBdr>
        </w:div>
      </w:divsChild>
    </w:div>
    <w:div w:id="1379165059">
      <w:bodyDiv w:val="1"/>
      <w:marLeft w:val="0"/>
      <w:marRight w:val="0"/>
      <w:marTop w:val="0"/>
      <w:marBottom w:val="0"/>
      <w:divBdr>
        <w:top w:val="none" w:sz="0" w:space="0" w:color="auto"/>
        <w:left w:val="none" w:sz="0" w:space="0" w:color="auto"/>
        <w:bottom w:val="none" w:sz="0" w:space="0" w:color="auto"/>
        <w:right w:val="none" w:sz="0" w:space="0" w:color="auto"/>
      </w:divBdr>
      <w:divsChild>
        <w:div w:id="348258451">
          <w:marLeft w:val="0"/>
          <w:marRight w:val="0"/>
          <w:marTop w:val="0"/>
          <w:marBottom w:val="120"/>
          <w:divBdr>
            <w:top w:val="none" w:sz="0" w:space="0" w:color="auto"/>
            <w:left w:val="none" w:sz="0" w:space="0" w:color="auto"/>
            <w:bottom w:val="none" w:sz="0" w:space="0" w:color="auto"/>
            <w:right w:val="none" w:sz="0" w:space="0" w:color="auto"/>
          </w:divBdr>
        </w:div>
        <w:div w:id="150217002">
          <w:marLeft w:val="0"/>
          <w:marRight w:val="0"/>
          <w:marTop w:val="0"/>
          <w:marBottom w:val="120"/>
          <w:divBdr>
            <w:top w:val="none" w:sz="0" w:space="0" w:color="auto"/>
            <w:left w:val="none" w:sz="0" w:space="0" w:color="auto"/>
            <w:bottom w:val="none" w:sz="0" w:space="0" w:color="auto"/>
            <w:right w:val="none" w:sz="0" w:space="0" w:color="auto"/>
          </w:divBdr>
        </w:div>
      </w:divsChild>
    </w:div>
    <w:div w:id="1483808585">
      <w:bodyDiv w:val="1"/>
      <w:marLeft w:val="0"/>
      <w:marRight w:val="0"/>
      <w:marTop w:val="0"/>
      <w:marBottom w:val="0"/>
      <w:divBdr>
        <w:top w:val="none" w:sz="0" w:space="0" w:color="auto"/>
        <w:left w:val="none" w:sz="0" w:space="0" w:color="auto"/>
        <w:bottom w:val="none" w:sz="0" w:space="0" w:color="auto"/>
        <w:right w:val="none" w:sz="0" w:space="0" w:color="auto"/>
      </w:divBdr>
      <w:divsChild>
        <w:div w:id="1975717531">
          <w:marLeft w:val="0"/>
          <w:marRight w:val="0"/>
          <w:marTop w:val="0"/>
          <w:marBottom w:val="120"/>
          <w:divBdr>
            <w:top w:val="none" w:sz="0" w:space="0" w:color="auto"/>
            <w:left w:val="none" w:sz="0" w:space="0" w:color="auto"/>
            <w:bottom w:val="none" w:sz="0" w:space="0" w:color="auto"/>
            <w:right w:val="none" w:sz="0" w:space="0" w:color="auto"/>
          </w:divBdr>
        </w:div>
        <w:div w:id="1865249732">
          <w:marLeft w:val="0"/>
          <w:marRight w:val="0"/>
          <w:marTop w:val="0"/>
          <w:marBottom w:val="120"/>
          <w:divBdr>
            <w:top w:val="none" w:sz="0" w:space="0" w:color="auto"/>
            <w:left w:val="none" w:sz="0" w:space="0" w:color="auto"/>
            <w:bottom w:val="none" w:sz="0" w:space="0" w:color="auto"/>
            <w:right w:val="none" w:sz="0" w:space="0" w:color="auto"/>
          </w:divBdr>
        </w:div>
      </w:divsChild>
    </w:div>
    <w:div w:id="1779445214">
      <w:bodyDiv w:val="1"/>
      <w:marLeft w:val="0"/>
      <w:marRight w:val="0"/>
      <w:marTop w:val="0"/>
      <w:marBottom w:val="0"/>
      <w:divBdr>
        <w:top w:val="none" w:sz="0" w:space="0" w:color="auto"/>
        <w:left w:val="none" w:sz="0" w:space="0" w:color="auto"/>
        <w:bottom w:val="none" w:sz="0" w:space="0" w:color="auto"/>
        <w:right w:val="none" w:sz="0" w:space="0" w:color="auto"/>
      </w:divBdr>
      <w:divsChild>
        <w:div w:id="1540118459">
          <w:marLeft w:val="0"/>
          <w:marRight w:val="0"/>
          <w:marTop w:val="0"/>
          <w:marBottom w:val="120"/>
          <w:divBdr>
            <w:top w:val="none" w:sz="0" w:space="0" w:color="auto"/>
            <w:left w:val="none" w:sz="0" w:space="0" w:color="auto"/>
            <w:bottom w:val="none" w:sz="0" w:space="0" w:color="auto"/>
            <w:right w:val="none" w:sz="0" w:space="0" w:color="auto"/>
          </w:divBdr>
        </w:div>
        <w:div w:id="1395936004">
          <w:marLeft w:val="0"/>
          <w:marRight w:val="0"/>
          <w:marTop w:val="0"/>
          <w:marBottom w:val="120"/>
          <w:divBdr>
            <w:top w:val="none" w:sz="0" w:space="0" w:color="auto"/>
            <w:left w:val="none" w:sz="0" w:space="0" w:color="auto"/>
            <w:bottom w:val="none" w:sz="0" w:space="0" w:color="auto"/>
            <w:right w:val="none" w:sz="0" w:space="0" w:color="auto"/>
          </w:divBdr>
        </w:div>
      </w:divsChild>
    </w:div>
    <w:div w:id="2097432357">
      <w:bodyDiv w:val="1"/>
      <w:marLeft w:val="0"/>
      <w:marRight w:val="0"/>
      <w:marTop w:val="0"/>
      <w:marBottom w:val="0"/>
      <w:divBdr>
        <w:top w:val="none" w:sz="0" w:space="0" w:color="auto"/>
        <w:left w:val="none" w:sz="0" w:space="0" w:color="auto"/>
        <w:bottom w:val="none" w:sz="0" w:space="0" w:color="auto"/>
        <w:right w:val="none" w:sz="0" w:space="0" w:color="auto"/>
      </w:divBdr>
      <w:divsChild>
        <w:div w:id="675108153">
          <w:marLeft w:val="0"/>
          <w:marRight w:val="0"/>
          <w:marTop w:val="0"/>
          <w:marBottom w:val="120"/>
          <w:divBdr>
            <w:top w:val="none" w:sz="0" w:space="0" w:color="auto"/>
            <w:left w:val="none" w:sz="0" w:space="0" w:color="auto"/>
            <w:bottom w:val="none" w:sz="0" w:space="0" w:color="auto"/>
            <w:right w:val="none" w:sz="0" w:space="0" w:color="auto"/>
          </w:divBdr>
        </w:div>
        <w:div w:id="445121698">
          <w:marLeft w:val="0"/>
          <w:marRight w:val="0"/>
          <w:marTop w:val="0"/>
          <w:marBottom w:val="120"/>
          <w:divBdr>
            <w:top w:val="none" w:sz="0" w:space="0" w:color="auto"/>
            <w:left w:val="none" w:sz="0" w:space="0" w:color="auto"/>
            <w:bottom w:val="none" w:sz="0" w:space="0" w:color="auto"/>
            <w:right w:val="none" w:sz="0" w:space="0" w:color="auto"/>
          </w:divBdr>
        </w:div>
        <w:div w:id="959727655">
          <w:marLeft w:val="0"/>
          <w:marRight w:val="0"/>
          <w:marTop w:val="0"/>
          <w:marBottom w:val="120"/>
          <w:divBdr>
            <w:top w:val="none" w:sz="0" w:space="0" w:color="auto"/>
            <w:left w:val="none" w:sz="0" w:space="0" w:color="auto"/>
            <w:bottom w:val="none" w:sz="0" w:space="0" w:color="auto"/>
            <w:right w:val="none" w:sz="0" w:space="0" w:color="auto"/>
          </w:divBdr>
        </w:div>
        <w:div w:id="354578406">
          <w:marLeft w:val="0"/>
          <w:marRight w:val="0"/>
          <w:marTop w:val="0"/>
          <w:marBottom w:val="120"/>
          <w:divBdr>
            <w:top w:val="none" w:sz="0" w:space="0" w:color="auto"/>
            <w:left w:val="none" w:sz="0" w:space="0" w:color="auto"/>
            <w:bottom w:val="none" w:sz="0" w:space="0" w:color="auto"/>
            <w:right w:val="none" w:sz="0" w:space="0" w:color="auto"/>
          </w:divBdr>
        </w:div>
        <w:div w:id="2091657411">
          <w:marLeft w:val="0"/>
          <w:marRight w:val="0"/>
          <w:marTop w:val="0"/>
          <w:marBottom w:val="120"/>
          <w:divBdr>
            <w:top w:val="none" w:sz="0" w:space="0" w:color="auto"/>
            <w:left w:val="none" w:sz="0" w:space="0" w:color="auto"/>
            <w:bottom w:val="none" w:sz="0" w:space="0" w:color="auto"/>
            <w:right w:val="none" w:sz="0" w:space="0" w:color="auto"/>
          </w:divBdr>
        </w:div>
        <w:div w:id="1426344574">
          <w:marLeft w:val="0"/>
          <w:marRight w:val="0"/>
          <w:marTop w:val="0"/>
          <w:marBottom w:val="120"/>
          <w:divBdr>
            <w:top w:val="none" w:sz="0" w:space="0" w:color="auto"/>
            <w:left w:val="none" w:sz="0" w:space="0" w:color="auto"/>
            <w:bottom w:val="none" w:sz="0" w:space="0" w:color="auto"/>
            <w:right w:val="none" w:sz="0" w:space="0" w:color="auto"/>
          </w:divBdr>
        </w:div>
        <w:div w:id="1900096007">
          <w:marLeft w:val="0"/>
          <w:marRight w:val="0"/>
          <w:marTop w:val="0"/>
          <w:marBottom w:val="120"/>
          <w:divBdr>
            <w:top w:val="none" w:sz="0" w:space="0" w:color="auto"/>
            <w:left w:val="none" w:sz="0" w:space="0" w:color="auto"/>
            <w:bottom w:val="none" w:sz="0" w:space="0" w:color="auto"/>
            <w:right w:val="none" w:sz="0" w:space="0" w:color="auto"/>
          </w:divBdr>
        </w:div>
        <w:div w:id="14762652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2068</Words>
  <Characters>11792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3</cp:revision>
  <cp:lastPrinted>2022-09-28T09:09:00Z</cp:lastPrinted>
  <dcterms:created xsi:type="dcterms:W3CDTF">2022-09-28T13:18:00Z</dcterms:created>
  <dcterms:modified xsi:type="dcterms:W3CDTF">2022-09-28T13:19:00Z</dcterms:modified>
</cp:coreProperties>
</file>